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FE15" w14:textId="52C9731F" w:rsidR="00483F79" w:rsidRPr="000065FB" w:rsidRDefault="00862230" w:rsidP="000065FB">
      <w:pPr>
        <w:tabs>
          <w:tab w:val="left" w:pos="450"/>
        </w:tabs>
        <w:spacing w:before="120"/>
        <w:jc w:val="center"/>
        <w:rPr>
          <w:rFonts w:ascii="Arial" w:hAnsi="Arial" w:cs="Arial"/>
          <w:b/>
          <w:bCs/>
          <w:sz w:val="20"/>
          <w:szCs w:val="20"/>
        </w:rPr>
      </w:pPr>
      <w:r>
        <w:rPr>
          <w:rFonts w:ascii="Arial" w:hAnsi="Arial" w:cs="Arial"/>
          <w:b/>
          <w:bCs/>
          <w:sz w:val="20"/>
          <w:szCs w:val="20"/>
        </w:rPr>
        <w:t>TEKTRONIX</w:t>
      </w:r>
      <w:r w:rsidR="00717334" w:rsidRPr="00E80DCD">
        <w:rPr>
          <w:rFonts w:ascii="Arial" w:hAnsi="Arial" w:cs="Arial"/>
          <w:b/>
          <w:bCs/>
          <w:sz w:val="20"/>
          <w:szCs w:val="20"/>
        </w:rPr>
        <w:t xml:space="preserve"> </w:t>
      </w:r>
      <w:r w:rsidR="0073573B" w:rsidRPr="00E80DCD">
        <w:rPr>
          <w:rFonts w:ascii="Arial" w:hAnsi="Arial" w:cs="Arial"/>
          <w:b/>
          <w:bCs/>
          <w:sz w:val="20"/>
          <w:szCs w:val="20"/>
        </w:rPr>
        <w:t xml:space="preserve">PARTNER </w:t>
      </w:r>
      <w:r w:rsidR="00EE2017" w:rsidRPr="00E80DCD">
        <w:rPr>
          <w:rFonts w:ascii="Arial" w:hAnsi="Arial" w:cs="Arial"/>
          <w:b/>
          <w:bCs/>
          <w:sz w:val="20"/>
          <w:szCs w:val="20"/>
        </w:rPr>
        <w:t>AGREEMENT</w:t>
      </w:r>
    </w:p>
    <w:p w14:paraId="69D25A0A" w14:textId="33BF0F7F" w:rsidR="00EE2017" w:rsidRPr="00E80DCD" w:rsidRDefault="006C0520" w:rsidP="000F14DC">
      <w:pPr>
        <w:tabs>
          <w:tab w:val="left" w:pos="900"/>
          <w:tab w:val="left" w:pos="1080"/>
          <w:tab w:val="left" w:pos="6480"/>
          <w:tab w:val="right" w:pos="7020"/>
          <w:tab w:val="left" w:pos="7380"/>
          <w:tab w:val="right" w:pos="8640"/>
        </w:tabs>
        <w:spacing w:before="120"/>
        <w:jc w:val="both"/>
        <w:rPr>
          <w:rFonts w:ascii="Arial" w:hAnsi="Arial" w:cs="Arial"/>
          <w:sz w:val="18"/>
          <w:szCs w:val="18"/>
        </w:rPr>
      </w:pPr>
      <w:r w:rsidRPr="00E80DCD">
        <w:rPr>
          <w:rFonts w:ascii="Arial" w:hAnsi="Arial" w:cs="Arial"/>
          <w:sz w:val="18"/>
          <w:szCs w:val="18"/>
        </w:rPr>
        <w:tab/>
      </w:r>
      <w:r w:rsidR="00EE2017" w:rsidRPr="00E80DCD">
        <w:rPr>
          <w:rFonts w:ascii="Arial" w:hAnsi="Arial" w:cs="Arial"/>
          <w:sz w:val="18"/>
          <w:szCs w:val="18"/>
        </w:rPr>
        <w:tab/>
      </w:r>
    </w:p>
    <w:p w14:paraId="45D52F4A" w14:textId="694CB360" w:rsidR="00EE2017" w:rsidRPr="00005585" w:rsidRDefault="00EE2017" w:rsidP="0AD491AB">
      <w:pPr>
        <w:pStyle w:val="ListParagraph"/>
        <w:numPr>
          <w:ilvl w:val="0"/>
          <w:numId w:val="16"/>
        </w:numPr>
        <w:tabs>
          <w:tab w:val="left" w:pos="360"/>
        </w:tabs>
        <w:spacing w:before="120" w:after="120"/>
        <w:jc w:val="both"/>
        <w:rPr>
          <w:rFonts w:ascii="Arial" w:hAnsi="Arial" w:cs="Arial"/>
          <w:sz w:val="18"/>
          <w:szCs w:val="18"/>
        </w:rPr>
      </w:pPr>
      <w:r w:rsidRPr="0AD491AB">
        <w:rPr>
          <w:rFonts w:ascii="Arial" w:hAnsi="Arial" w:cs="Arial"/>
          <w:b/>
          <w:bCs/>
          <w:sz w:val="18"/>
          <w:szCs w:val="18"/>
        </w:rPr>
        <w:t>Appointment, Obligations.</w:t>
      </w:r>
      <w:r w:rsidRPr="0AD491AB">
        <w:rPr>
          <w:rFonts w:ascii="Arial" w:hAnsi="Arial" w:cs="Arial"/>
          <w:sz w:val="18"/>
          <w:szCs w:val="18"/>
        </w:rPr>
        <w:t xml:space="preserve">  </w:t>
      </w:r>
      <w:r w:rsidR="004B5C64">
        <w:rPr>
          <w:rFonts w:ascii="Arial" w:hAnsi="Arial" w:cs="Arial"/>
          <w:sz w:val="18"/>
          <w:szCs w:val="18"/>
        </w:rPr>
        <w:t>Tektronix, Inc. or the Tektronix, Inc. affiliate</w:t>
      </w:r>
      <w:r w:rsidR="004751CC">
        <w:rPr>
          <w:rFonts w:ascii="Arial" w:hAnsi="Arial" w:cs="Arial"/>
          <w:sz w:val="18"/>
          <w:szCs w:val="18"/>
        </w:rPr>
        <w:t xml:space="preserve"> entity</w:t>
      </w:r>
      <w:r w:rsidR="004B5C64" w:rsidRPr="0AD491AB">
        <w:rPr>
          <w:rFonts w:ascii="Arial" w:hAnsi="Arial" w:cs="Arial"/>
          <w:sz w:val="18"/>
          <w:szCs w:val="18"/>
        </w:rPr>
        <w:t xml:space="preserve"> </w:t>
      </w:r>
      <w:r w:rsidR="00717334" w:rsidRPr="0AD491AB">
        <w:rPr>
          <w:rFonts w:ascii="Arial" w:hAnsi="Arial" w:cs="Arial"/>
          <w:sz w:val="18"/>
          <w:szCs w:val="18"/>
        </w:rPr>
        <w:t>identified in the Supplement</w:t>
      </w:r>
      <w:r w:rsidR="00C9598C">
        <w:rPr>
          <w:rFonts w:ascii="Arial" w:hAnsi="Arial" w:cs="Arial"/>
          <w:sz w:val="18"/>
          <w:szCs w:val="18"/>
        </w:rPr>
        <w:t xml:space="preserve"> </w:t>
      </w:r>
      <w:r w:rsidR="00717334" w:rsidRPr="0AD491AB">
        <w:rPr>
          <w:rFonts w:ascii="Arial" w:hAnsi="Arial" w:cs="Arial"/>
          <w:sz w:val="18"/>
          <w:szCs w:val="18"/>
        </w:rPr>
        <w:t xml:space="preserve">(hereinafter </w:t>
      </w:r>
      <w:r w:rsidR="006702DB" w:rsidRPr="0AD491AB">
        <w:rPr>
          <w:rFonts w:ascii="Arial" w:hAnsi="Arial" w:cs="Arial"/>
          <w:sz w:val="18"/>
          <w:szCs w:val="18"/>
        </w:rPr>
        <w:t xml:space="preserve">individually and </w:t>
      </w:r>
      <w:r w:rsidR="00717334" w:rsidRPr="0AD491AB">
        <w:rPr>
          <w:rFonts w:ascii="Arial" w:hAnsi="Arial" w:cs="Arial"/>
          <w:sz w:val="18"/>
          <w:szCs w:val="18"/>
        </w:rPr>
        <w:t>collectively referred to as “</w:t>
      </w:r>
      <w:r w:rsidR="00A55CA6">
        <w:rPr>
          <w:rFonts w:ascii="Arial" w:hAnsi="Arial" w:cs="Arial"/>
          <w:sz w:val="18"/>
          <w:szCs w:val="18"/>
        </w:rPr>
        <w:t>Tektronix</w:t>
      </w:r>
      <w:r w:rsidR="00717334" w:rsidRPr="0AD491AB">
        <w:rPr>
          <w:rFonts w:ascii="Arial" w:hAnsi="Arial" w:cs="Arial"/>
          <w:sz w:val="18"/>
          <w:szCs w:val="18"/>
        </w:rPr>
        <w:t>”)</w:t>
      </w:r>
      <w:r w:rsidR="005427D0">
        <w:rPr>
          <w:rFonts w:ascii="Arial" w:hAnsi="Arial" w:cs="Arial"/>
          <w:sz w:val="18"/>
          <w:szCs w:val="18"/>
        </w:rPr>
        <w:t>,</w:t>
      </w:r>
      <w:r w:rsidR="00B63F7E" w:rsidRPr="0AD491AB">
        <w:rPr>
          <w:rFonts w:ascii="Arial" w:hAnsi="Arial" w:cs="Arial"/>
          <w:sz w:val="18"/>
          <w:szCs w:val="18"/>
        </w:rPr>
        <w:t xml:space="preserve"> </w:t>
      </w:r>
      <w:r w:rsidRPr="0AD491AB">
        <w:rPr>
          <w:rFonts w:ascii="Arial" w:hAnsi="Arial" w:cs="Arial"/>
          <w:sz w:val="18"/>
          <w:szCs w:val="18"/>
        </w:rPr>
        <w:t>hereby appoint</w:t>
      </w:r>
      <w:r w:rsidR="001A326C">
        <w:rPr>
          <w:rFonts w:ascii="Arial" w:hAnsi="Arial" w:cs="Arial"/>
          <w:sz w:val="18"/>
          <w:szCs w:val="18"/>
        </w:rPr>
        <w:t>s</w:t>
      </w:r>
      <w:r w:rsidRPr="0AD491AB">
        <w:rPr>
          <w:rFonts w:ascii="Arial" w:hAnsi="Arial" w:cs="Arial"/>
          <w:sz w:val="18"/>
          <w:szCs w:val="18"/>
        </w:rPr>
        <w:t xml:space="preserve"> </w:t>
      </w:r>
      <w:r w:rsidR="009176D3" w:rsidRPr="0AD491AB">
        <w:rPr>
          <w:rFonts w:ascii="Arial" w:hAnsi="Arial" w:cs="Arial"/>
          <w:sz w:val="18"/>
          <w:szCs w:val="18"/>
        </w:rPr>
        <w:t xml:space="preserve">company which has executed the Supplement </w:t>
      </w:r>
      <w:r w:rsidRPr="0AD491AB">
        <w:rPr>
          <w:rFonts w:ascii="Arial" w:hAnsi="Arial" w:cs="Arial"/>
          <w:sz w:val="18"/>
          <w:szCs w:val="18"/>
        </w:rPr>
        <w:t>as an authorized</w:t>
      </w:r>
      <w:r w:rsidR="004B0F44" w:rsidRPr="0AD491AB">
        <w:rPr>
          <w:rFonts w:ascii="Arial" w:hAnsi="Arial" w:cs="Arial"/>
          <w:sz w:val="18"/>
          <w:szCs w:val="18"/>
        </w:rPr>
        <w:t xml:space="preserve">, </w:t>
      </w:r>
      <w:r w:rsidR="00BA6490" w:rsidRPr="0AD491AB">
        <w:rPr>
          <w:rFonts w:ascii="Arial" w:hAnsi="Arial" w:cs="Arial"/>
          <w:sz w:val="18"/>
          <w:szCs w:val="18"/>
        </w:rPr>
        <w:t xml:space="preserve">nonexclusive </w:t>
      </w:r>
      <w:r w:rsidR="00284B7F" w:rsidRPr="0AD491AB">
        <w:rPr>
          <w:rFonts w:ascii="Arial" w:hAnsi="Arial" w:cs="Arial"/>
          <w:sz w:val="18"/>
          <w:szCs w:val="18"/>
        </w:rPr>
        <w:t xml:space="preserve">reseller </w:t>
      </w:r>
      <w:r w:rsidR="00C2128D" w:rsidRPr="0AD491AB">
        <w:rPr>
          <w:rFonts w:ascii="Arial" w:hAnsi="Arial" w:cs="Arial"/>
          <w:sz w:val="18"/>
          <w:szCs w:val="18"/>
        </w:rPr>
        <w:t>and/or re</w:t>
      </w:r>
      <w:r w:rsidR="00867BD1" w:rsidRPr="0AD491AB">
        <w:rPr>
          <w:rFonts w:ascii="Arial" w:hAnsi="Arial" w:cs="Arial"/>
          <w:sz w:val="18"/>
          <w:szCs w:val="18"/>
        </w:rPr>
        <w:t xml:space="preserve">presentative </w:t>
      </w:r>
      <w:r w:rsidR="00284B7F" w:rsidRPr="0AD491AB">
        <w:rPr>
          <w:rFonts w:ascii="Arial" w:hAnsi="Arial" w:cs="Arial"/>
          <w:sz w:val="18"/>
          <w:szCs w:val="18"/>
        </w:rPr>
        <w:t>(“</w:t>
      </w:r>
      <w:r w:rsidR="0073573B" w:rsidRPr="0AD491AB">
        <w:rPr>
          <w:rFonts w:ascii="Arial" w:hAnsi="Arial" w:cs="Arial"/>
          <w:sz w:val="18"/>
          <w:szCs w:val="18"/>
        </w:rPr>
        <w:t>Partner</w:t>
      </w:r>
      <w:r w:rsidR="00284B7F" w:rsidRPr="0AD491AB">
        <w:rPr>
          <w:rFonts w:ascii="Arial" w:hAnsi="Arial" w:cs="Arial"/>
          <w:sz w:val="18"/>
          <w:szCs w:val="18"/>
        </w:rPr>
        <w:t>”)</w:t>
      </w:r>
      <w:r w:rsidRPr="0AD491AB">
        <w:rPr>
          <w:rFonts w:ascii="Arial" w:hAnsi="Arial" w:cs="Arial"/>
          <w:sz w:val="18"/>
          <w:szCs w:val="18"/>
        </w:rPr>
        <w:t xml:space="preserve"> of those </w:t>
      </w:r>
      <w:r w:rsidR="00A55CA6">
        <w:rPr>
          <w:rFonts w:ascii="Arial" w:hAnsi="Arial" w:cs="Arial"/>
          <w:sz w:val="18"/>
          <w:szCs w:val="18"/>
        </w:rPr>
        <w:t>Tektronix</w:t>
      </w:r>
      <w:r w:rsidRPr="0AD491AB">
        <w:rPr>
          <w:rFonts w:ascii="Arial" w:hAnsi="Arial" w:cs="Arial"/>
          <w:sz w:val="18"/>
          <w:szCs w:val="18"/>
        </w:rPr>
        <w:t xml:space="preserve"> products</w:t>
      </w:r>
      <w:r w:rsidR="00315B80" w:rsidRPr="0AD491AB">
        <w:rPr>
          <w:rFonts w:ascii="Arial" w:hAnsi="Arial" w:cs="Arial"/>
          <w:sz w:val="18"/>
          <w:szCs w:val="18"/>
        </w:rPr>
        <w:t xml:space="preserve"> (“Products”)</w:t>
      </w:r>
      <w:r w:rsidR="004B0F44" w:rsidRPr="0AD491AB">
        <w:rPr>
          <w:rFonts w:ascii="Arial" w:hAnsi="Arial" w:cs="Arial"/>
          <w:sz w:val="18"/>
          <w:szCs w:val="18"/>
        </w:rPr>
        <w:t xml:space="preserve"> </w:t>
      </w:r>
      <w:r w:rsidR="006C321E" w:rsidRPr="0AD491AB">
        <w:rPr>
          <w:rFonts w:ascii="Arial" w:hAnsi="Arial" w:cs="Arial"/>
          <w:sz w:val="18"/>
          <w:szCs w:val="18"/>
        </w:rPr>
        <w:t xml:space="preserve">and/or </w:t>
      </w:r>
      <w:r w:rsidR="00A55CA6">
        <w:rPr>
          <w:rFonts w:ascii="Arial" w:hAnsi="Arial" w:cs="Arial"/>
          <w:sz w:val="18"/>
          <w:szCs w:val="18"/>
        </w:rPr>
        <w:t>Tektronix</w:t>
      </w:r>
      <w:r w:rsidR="006C321E" w:rsidRPr="0AD491AB">
        <w:rPr>
          <w:rFonts w:ascii="Arial" w:hAnsi="Arial" w:cs="Arial"/>
          <w:sz w:val="18"/>
          <w:szCs w:val="18"/>
        </w:rPr>
        <w:t xml:space="preserve"> services (“Services”) </w:t>
      </w:r>
      <w:r w:rsidR="004B0F44" w:rsidRPr="0AD491AB">
        <w:rPr>
          <w:rFonts w:ascii="Arial" w:hAnsi="Arial" w:cs="Arial"/>
          <w:sz w:val="18"/>
          <w:szCs w:val="18"/>
        </w:rPr>
        <w:t>within the territory</w:t>
      </w:r>
      <w:r w:rsidR="00315B80" w:rsidRPr="0AD491AB">
        <w:rPr>
          <w:rFonts w:ascii="Arial" w:hAnsi="Arial" w:cs="Arial"/>
          <w:sz w:val="18"/>
          <w:szCs w:val="18"/>
        </w:rPr>
        <w:t xml:space="preserve"> (</w:t>
      </w:r>
      <w:r w:rsidR="004243F0" w:rsidRPr="0AD491AB">
        <w:rPr>
          <w:rFonts w:ascii="Arial" w:hAnsi="Arial" w:cs="Arial"/>
          <w:sz w:val="18"/>
          <w:szCs w:val="18"/>
        </w:rPr>
        <w:t>“</w:t>
      </w:r>
      <w:r w:rsidR="004243F0" w:rsidRPr="0AD491AB">
        <w:rPr>
          <w:rFonts w:ascii="Arial" w:hAnsi="Arial" w:cs="Arial"/>
          <w:sz w:val="18"/>
          <w:szCs w:val="18"/>
          <w:u w:val="single"/>
        </w:rPr>
        <w:t>Area of Authorization</w:t>
      </w:r>
      <w:r w:rsidR="004243F0" w:rsidRPr="0AD491AB">
        <w:rPr>
          <w:rFonts w:ascii="Arial" w:hAnsi="Arial" w:cs="Arial"/>
          <w:sz w:val="18"/>
          <w:szCs w:val="18"/>
        </w:rPr>
        <w:t xml:space="preserve">”) </w:t>
      </w:r>
      <w:r w:rsidRPr="0AD491AB">
        <w:rPr>
          <w:rFonts w:ascii="Arial" w:hAnsi="Arial" w:cs="Arial"/>
          <w:sz w:val="18"/>
          <w:szCs w:val="18"/>
        </w:rPr>
        <w:t xml:space="preserve">identified </w:t>
      </w:r>
      <w:r w:rsidR="009176D3" w:rsidRPr="0AD491AB">
        <w:rPr>
          <w:rFonts w:ascii="Arial" w:hAnsi="Arial" w:cs="Arial"/>
          <w:sz w:val="18"/>
          <w:szCs w:val="18"/>
        </w:rPr>
        <w:t xml:space="preserve">herein </w:t>
      </w:r>
      <w:r w:rsidRPr="0AD491AB">
        <w:rPr>
          <w:rFonts w:ascii="Arial" w:hAnsi="Arial" w:cs="Arial"/>
          <w:sz w:val="18"/>
          <w:szCs w:val="18"/>
        </w:rPr>
        <w:t xml:space="preserve">and </w:t>
      </w:r>
      <w:r w:rsidR="009176D3" w:rsidRPr="0AD491AB">
        <w:rPr>
          <w:rFonts w:ascii="Arial" w:hAnsi="Arial" w:cs="Arial"/>
          <w:sz w:val="18"/>
          <w:szCs w:val="18"/>
        </w:rPr>
        <w:t>in the</w:t>
      </w:r>
      <w:r w:rsidR="00145365" w:rsidRPr="0AD491AB">
        <w:rPr>
          <w:rFonts w:ascii="Arial" w:hAnsi="Arial" w:cs="Arial"/>
          <w:sz w:val="18"/>
          <w:szCs w:val="18"/>
        </w:rPr>
        <w:t xml:space="preserve"> </w:t>
      </w:r>
      <w:r w:rsidRPr="0AD491AB">
        <w:rPr>
          <w:rFonts w:ascii="Arial" w:hAnsi="Arial" w:cs="Arial"/>
          <w:sz w:val="18"/>
          <w:szCs w:val="18"/>
        </w:rPr>
        <w:t xml:space="preserve">successor </w:t>
      </w:r>
      <w:r w:rsidR="00A608E3" w:rsidRPr="0AD491AB">
        <w:rPr>
          <w:rFonts w:ascii="Arial" w:hAnsi="Arial" w:cs="Arial"/>
          <w:sz w:val="18"/>
          <w:szCs w:val="18"/>
        </w:rPr>
        <w:t>s</w:t>
      </w:r>
      <w:r w:rsidRPr="0AD491AB">
        <w:rPr>
          <w:rFonts w:ascii="Arial" w:hAnsi="Arial" w:cs="Arial"/>
          <w:sz w:val="18"/>
          <w:szCs w:val="18"/>
        </w:rPr>
        <w:t>upplements</w:t>
      </w:r>
      <w:r w:rsidR="00A608E3" w:rsidRPr="0AD491AB">
        <w:rPr>
          <w:rFonts w:ascii="Arial" w:hAnsi="Arial" w:cs="Arial"/>
          <w:sz w:val="18"/>
          <w:szCs w:val="18"/>
        </w:rPr>
        <w:t xml:space="preserve"> </w:t>
      </w:r>
      <w:r w:rsidR="002D261F" w:rsidRPr="0AD491AB">
        <w:rPr>
          <w:rFonts w:ascii="Arial" w:hAnsi="Arial" w:cs="Arial"/>
          <w:sz w:val="18"/>
          <w:szCs w:val="18"/>
        </w:rPr>
        <w:t>(the “Supplement”)</w:t>
      </w:r>
      <w:r w:rsidRPr="0AD491AB">
        <w:rPr>
          <w:rFonts w:ascii="Arial" w:hAnsi="Arial" w:cs="Arial"/>
          <w:sz w:val="18"/>
          <w:szCs w:val="18"/>
        </w:rPr>
        <w:t xml:space="preserve">.  </w:t>
      </w:r>
      <w:r w:rsidR="006C321E" w:rsidRPr="0AD491AB">
        <w:rPr>
          <w:rFonts w:ascii="Arial" w:hAnsi="Arial" w:cs="Arial"/>
          <w:sz w:val="18"/>
          <w:szCs w:val="18"/>
        </w:rPr>
        <w:t>A</w:t>
      </w:r>
      <w:r w:rsidRPr="0AD491AB">
        <w:rPr>
          <w:rFonts w:ascii="Arial" w:hAnsi="Arial" w:cs="Arial"/>
          <w:sz w:val="18"/>
          <w:szCs w:val="18"/>
        </w:rPr>
        <w:t xml:space="preserve">s an authorized </w:t>
      </w:r>
      <w:r w:rsidR="00B46CB0" w:rsidRPr="0AD491AB">
        <w:rPr>
          <w:rFonts w:ascii="Arial" w:hAnsi="Arial" w:cs="Arial"/>
          <w:sz w:val="18"/>
          <w:szCs w:val="18"/>
        </w:rPr>
        <w:t>p</w:t>
      </w:r>
      <w:r w:rsidR="0073573B" w:rsidRPr="0AD491AB">
        <w:rPr>
          <w:rFonts w:ascii="Arial" w:hAnsi="Arial" w:cs="Arial"/>
          <w:sz w:val="18"/>
          <w:szCs w:val="18"/>
        </w:rPr>
        <w:t>artner</w:t>
      </w:r>
      <w:r w:rsidRPr="0AD491AB">
        <w:rPr>
          <w:rFonts w:ascii="Arial" w:hAnsi="Arial" w:cs="Arial"/>
          <w:sz w:val="18"/>
          <w:szCs w:val="18"/>
        </w:rPr>
        <w:t>,</w:t>
      </w:r>
      <w:r w:rsidR="00BD374A" w:rsidRPr="0AD491AB">
        <w:rPr>
          <w:rFonts w:ascii="Arial" w:hAnsi="Arial" w:cs="Arial"/>
          <w:sz w:val="18"/>
          <w:szCs w:val="18"/>
        </w:rPr>
        <w:t xml:space="preserve"> </w:t>
      </w:r>
      <w:r w:rsidR="0073573B" w:rsidRPr="0AD491AB">
        <w:rPr>
          <w:rFonts w:ascii="Arial" w:hAnsi="Arial" w:cs="Arial"/>
          <w:sz w:val="18"/>
          <w:szCs w:val="18"/>
        </w:rPr>
        <w:t>Partner</w:t>
      </w:r>
      <w:r w:rsidRPr="0AD491AB">
        <w:rPr>
          <w:rFonts w:ascii="Arial" w:hAnsi="Arial" w:cs="Arial"/>
          <w:sz w:val="18"/>
          <w:szCs w:val="18"/>
        </w:rPr>
        <w:t xml:space="preserve"> will:</w:t>
      </w:r>
    </w:p>
    <w:p w14:paraId="1E83F4D0" w14:textId="6985D72F" w:rsidR="00EE2017" w:rsidRPr="00E80DCD" w:rsidRDefault="00EE2017" w:rsidP="00580465">
      <w:pPr>
        <w:widowControl w:val="0"/>
        <w:numPr>
          <w:ilvl w:val="0"/>
          <w:numId w:val="2"/>
        </w:numPr>
        <w:spacing w:before="120"/>
        <w:ind w:left="720"/>
        <w:jc w:val="both"/>
        <w:rPr>
          <w:rFonts w:ascii="Arial" w:hAnsi="Arial" w:cs="Arial"/>
          <w:sz w:val="18"/>
          <w:szCs w:val="18"/>
        </w:rPr>
      </w:pPr>
      <w:r w:rsidRPr="00E80DCD">
        <w:rPr>
          <w:rFonts w:ascii="Arial" w:hAnsi="Arial" w:cs="Arial"/>
          <w:sz w:val="18"/>
          <w:szCs w:val="18"/>
        </w:rPr>
        <w:t>P</w:t>
      </w:r>
      <w:r w:rsidR="00C26976" w:rsidRPr="00E80DCD">
        <w:rPr>
          <w:rFonts w:ascii="Arial" w:hAnsi="Arial" w:cs="Arial"/>
          <w:sz w:val="18"/>
          <w:szCs w:val="18"/>
        </w:rPr>
        <w:t>urchase, p</w:t>
      </w:r>
      <w:r w:rsidRPr="00E80DCD">
        <w:rPr>
          <w:rFonts w:ascii="Arial" w:hAnsi="Arial" w:cs="Arial"/>
          <w:sz w:val="18"/>
          <w:szCs w:val="18"/>
        </w:rPr>
        <w:t xml:space="preserve">romote and sell </w:t>
      </w:r>
      <w:r w:rsidR="009C4CAD" w:rsidRPr="00E80DCD">
        <w:rPr>
          <w:rFonts w:ascii="Arial" w:hAnsi="Arial" w:cs="Arial"/>
          <w:sz w:val="18"/>
          <w:szCs w:val="18"/>
        </w:rPr>
        <w:t xml:space="preserve">(as applicable) within the </w:t>
      </w:r>
      <w:r w:rsidR="00413E82" w:rsidRPr="00E80DCD">
        <w:rPr>
          <w:rFonts w:ascii="Arial" w:hAnsi="Arial" w:cs="Arial"/>
          <w:sz w:val="18"/>
          <w:szCs w:val="18"/>
        </w:rPr>
        <w:t xml:space="preserve">Area of Authorization </w:t>
      </w:r>
      <w:r w:rsidRPr="00E80DCD">
        <w:rPr>
          <w:rFonts w:ascii="Arial" w:hAnsi="Arial" w:cs="Arial"/>
          <w:sz w:val="18"/>
          <w:szCs w:val="18"/>
        </w:rPr>
        <w:t xml:space="preserve">the </w:t>
      </w:r>
      <w:r w:rsidR="00315B80" w:rsidRPr="00E80DCD">
        <w:rPr>
          <w:rFonts w:ascii="Arial" w:hAnsi="Arial" w:cs="Arial"/>
          <w:sz w:val="18"/>
          <w:szCs w:val="18"/>
        </w:rPr>
        <w:t>P</w:t>
      </w:r>
      <w:r w:rsidRPr="00E80DCD">
        <w:rPr>
          <w:rFonts w:ascii="Arial" w:hAnsi="Arial" w:cs="Arial"/>
          <w:sz w:val="18"/>
          <w:szCs w:val="18"/>
        </w:rPr>
        <w:t>roducts</w:t>
      </w:r>
      <w:r w:rsidR="004B0F44" w:rsidRPr="00E80DCD">
        <w:rPr>
          <w:rFonts w:ascii="Arial" w:hAnsi="Arial" w:cs="Arial"/>
          <w:sz w:val="18"/>
          <w:szCs w:val="18"/>
        </w:rPr>
        <w:t xml:space="preserve"> and</w:t>
      </w:r>
      <w:r w:rsidR="3BCB1CCF" w:rsidRPr="00E80DCD">
        <w:rPr>
          <w:rFonts w:ascii="Arial" w:hAnsi="Arial" w:cs="Arial"/>
          <w:sz w:val="18"/>
          <w:szCs w:val="18"/>
        </w:rPr>
        <w:t>/or</w:t>
      </w:r>
      <w:r w:rsidR="004B0F44" w:rsidRPr="00E80DCD">
        <w:rPr>
          <w:rFonts w:ascii="Arial" w:hAnsi="Arial" w:cs="Arial"/>
          <w:sz w:val="18"/>
          <w:szCs w:val="18"/>
        </w:rPr>
        <w:t xml:space="preserve"> </w:t>
      </w:r>
      <w:r w:rsidR="006C321E" w:rsidRPr="00E80DCD">
        <w:rPr>
          <w:rFonts w:ascii="Arial" w:hAnsi="Arial" w:cs="Arial"/>
          <w:sz w:val="18"/>
          <w:szCs w:val="18"/>
        </w:rPr>
        <w:t>S</w:t>
      </w:r>
      <w:r w:rsidR="004B0F44" w:rsidRPr="00E80DCD">
        <w:rPr>
          <w:rFonts w:ascii="Arial" w:hAnsi="Arial" w:cs="Arial"/>
          <w:sz w:val="18"/>
          <w:szCs w:val="18"/>
        </w:rPr>
        <w:t>ervices</w:t>
      </w:r>
      <w:r w:rsidRPr="00E80DCD">
        <w:rPr>
          <w:rFonts w:ascii="Arial" w:hAnsi="Arial" w:cs="Arial"/>
          <w:sz w:val="18"/>
          <w:szCs w:val="18"/>
        </w:rPr>
        <w:t xml:space="preserve"> to end-user customers not affiliated with </w:t>
      </w:r>
      <w:r w:rsidR="0073573B" w:rsidRPr="00E80DCD">
        <w:rPr>
          <w:rFonts w:ascii="Arial" w:hAnsi="Arial" w:cs="Arial"/>
          <w:sz w:val="18"/>
          <w:szCs w:val="18"/>
        </w:rPr>
        <w:t>Partner</w:t>
      </w:r>
      <w:r w:rsidRPr="00E80DCD">
        <w:rPr>
          <w:rFonts w:ascii="Arial" w:hAnsi="Arial" w:cs="Arial"/>
          <w:sz w:val="18"/>
          <w:szCs w:val="18"/>
        </w:rPr>
        <w:t xml:space="preserve">, under the terms of this </w:t>
      </w:r>
      <w:r w:rsidR="00C836DC" w:rsidRPr="00E80DCD">
        <w:rPr>
          <w:rFonts w:ascii="Arial" w:hAnsi="Arial" w:cs="Arial"/>
          <w:sz w:val="18"/>
          <w:szCs w:val="18"/>
        </w:rPr>
        <w:t xml:space="preserve">Partner </w:t>
      </w:r>
      <w:r w:rsidRPr="00E80DCD">
        <w:rPr>
          <w:rFonts w:ascii="Arial" w:hAnsi="Arial" w:cs="Arial"/>
          <w:sz w:val="18"/>
          <w:szCs w:val="18"/>
        </w:rPr>
        <w:t xml:space="preserve">Agreement and in accordance with applicable policies and programs issued from time to time by </w:t>
      </w:r>
      <w:r w:rsidR="00A55CA6">
        <w:rPr>
          <w:rFonts w:ascii="Arial" w:hAnsi="Arial" w:cs="Arial"/>
          <w:sz w:val="18"/>
          <w:szCs w:val="18"/>
        </w:rPr>
        <w:t>Tektronix</w:t>
      </w:r>
      <w:r w:rsidR="003D2A14" w:rsidRPr="00E80DCD">
        <w:rPr>
          <w:rFonts w:ascii="Arial" w:hAnsi="Arial" w:cs="Arial"/>
          <w:sz w:val="18"/>
          <w:szCs w:val="18"/>
        </w:rPr>
        <w:t xml:space="preserve"> as stated within </w:t>
      </w:r>
      <w:r w:rsidR="00A55CA6">
        <w:rPr>
          <w:rFonts w:ascii="Arial" w:hAnsi="Arial" w:cs="Arial"/>
          <w:sz w:val="18"/>
          <w:szCs w:val="18"/>
        </w:rPr>
        <w:t>Tektronix</w:t>
      </w:r>
      <w:r w:rsidR="00377861">
        <w:rPr>
          <w:rFonts w:ascii="Arial" w:hAnsi="Arial" w:cs="Arial"/>
          <w:sz w:val="18"/>
          <w:szCs w:val="18"/>
        </w:rPr>
        <w:t>’s</w:t>
      </w:r>
      <w:r w:rsidR="3F51E69E" w:rsidRPr="00E80DCD">
        <w:rPr>
          <w:rFonts w:ascii="Arial" w:hAnsi="Arial" w:cs="Arial"/>
          <w:sz w:val="18"/>
          <w:szCs w:val="18"/>
        </w:rPr>
        <w:t xml:space="preserve"> applicable</w:t>
      </w:r>
      <w:r w:rsidR="00C65121" w:rsidRPr="00E80DCD">
        <w:rPr>
          <w:rFonts w:ascii="Arial" w:hAnsi="Arial" w:cs="Arial"/>
          <w:sz w:val="18"/>
          <w:szCs w:val="18"/>
        </w:rPr>
        <w:t xml:space="preserve"> </w:t>
      </w:r>
      <w:r w:rsidR="00DE01D6" w:rsidRPr="00E80DCD">
        <w:rPr>
          <w:rFonts w:ascii="Arial" w:hAnsi="Arial" w:cs="Arial"/>
          <w:sz w:val="18"/>
          <w:szCs w:val="18"/>
        </w:rPr>
        <w:t>p</w:t>
      </w:r>
      <w:r w:rsidR="002738E2" w:rsidRPr="00E80DCD">
        <w:rPr>
          <w:rFonts w:ascii="Arial" w:hAnsi="Arial" w:cs="Arial"/>
          <w:sz w:val="18"/>
          <w:szCs w:val="18"/>
        </w:rPr>
        <w:t>olicies</w:t>
      </w:r>
      <w:r w:rsidR="00FC1111" w:rsidRPr="00E80DCD">
        <w:rPr>
          <w:rFonts w:ascii="Arial" w:hAnsi="Arial" w:cs="Arial"/>
          <w:sz w:val="18"/>
          <w:szCs w:val="18"/>
        </w:rPr>
        <w:t xml:space="preserve">, </w:t>
      </w:r>
      <w:r w:rsidR="00DE01D6" w:rsidRPr="00E80DCD">
        <w:rPr>
          <w:rFonts w:ascii="Arial" w:hAnsi="Arial" w:cs="Arial"/>
          <w:sz w:val="18"/>
          <w:szCs w:val="18"/>
        </w:rPr>
        <w:t>p</w:t>
      </w:r>
      <w:r w:rsidR="003D2A14" w:rsidRPr="00E80DCD">
        <w:rPr>
          <w:rFonts w:ascii="Arial" w:hAnsi="Arial" w:cs="Arial"/>
          <w:sz w:val="18"/>
          <w:szCs w:val="18"/>
        </w:rPr>
        <w:t xml:space="preserve">rocedures </w:t>
      </w:r>
      <w:r w:rsidR="00FC1111" w:rsidRPr="00E80DCD">
        <w:rPr>
          <w:rFonts w:ascii="Arial" w:hAnsi="Arial" w:cs="Arial"/>
          <w:sz w:val="18"/>
          <w:szCs w:val="18"/>
        </w:rPr>
        <w:t>and</w:t>
      </w:r>
      <w:r w:rsidR="005F6ACA" w:rsidRPr="00E80DCD">
        <w:rPr>
          <w:rFonts w:ascii="Arial" w:hAnsi="Arial" w:cs="Arial"/>
          <w:sz w:val="18"/>
          <w:szCs w:val="18"/>
        </w:rPr>
        <w:t>/or</w:t>
      </w:r>
      <w:r w:rsidR="00FC1111" w:rsidRPr="00E80DCD">
        <w:rPr>
          <w:rFonts w:ascii="Arial" w:hAnsi="Arial" w:cs="Arial"/>
          <w:sz w:val="18"/>
          <w:szCs w:val="18"/>
        </w:rPr>
        <w:t xml:space="preserve"> </w:t>
      </w:r>
      <w:r w:rsidR="00DE01D6" w:rsidRPr="00E80DCD">
        <w:rPr>
          <w:rFonts w:ascii="Arial" w:hAnsi="Arial" w:cs="Arial"/>
          <w:sz w:val="18"/>
          <w:szCs w:val="18"/>
        </w:rPr>
        <w:t>m</w:t>
      </w:r>
      <w:r w:rsidR="003D2A14" w:rsidRPr="00E80DCD">
        <w:rPr>
          <w:rFonts w:ascii="Arial" w:hAnsi="Arial" w:cs="Arial"/>
          <w:sz w:val="18"/>
          <w:szCs w:val="18"/>
        </w:rPr>
        <w:t>anual</w:t>
      </w:r>
      <w:r w:rsidR="00C65121" w:rsidRPr="00E80DCD">
        <w:rPr>
          <w:rFonts w:ascii="Arial" w:hAnsi="Arial" w:cs="Arial"/>
          <w:sz w:val="18"/>
          <w:szCs w:val="18"/>
        </w:rPr>
        <w:t xml:space="preserve"> issued for the</w:t>
      </w:r>
      <w:r w:rsidR="00572629" w:rsidRPr="00E80DCD">
        <w:rPr>
          <w:rFonts w:ascii="Arial" w:hAnsi="Arial" w:cs="Arial"/>
          <w:sz w:val="18"/>
          <w:szCs w:val="18"/>
        </w:rPr>
        <w:t xml:space="preserve"> relevant Area of Authorization</w:t>
      </w:r>
      <w:r w:rsidR="00C65121" w:rsidRPr="00E80DCD">
        <w:rPr>
          <w:rFonts w:ascii="Arial" w:hAnsi="Arial" w:cs="Arial"/>
          <w:sz w:val="18"/>
          <w:szCs w:val="18"/>
        </w:rPr>
        <w:t xml:space="preserve"> (</w:t>
      </w:r>
      <w:r w:rsidR="002C4666" w:rsidRPr="00E80DCD">
        <w:rPr>
          <w:rFonts w:ascii="Arial" w:hAnsi="Arial" w:cs="Arial"/>
          <w:sz w:val="18"/>
          <w:szCs w:val="18"/>
        </w:rPr>
        <w:t xml:space="preserve">the </w:t>
      </w:r>
      <w:r w:rsidR="00C65121" w:rsidRPr="00E80DCD">
        <w:rPr>
          <w:rFonts w:ascii="Arial" w:hAnsi="Arial" w:cs="Arial"/>
          <w:sz w:val="18"/>
          <w:szCs w:val="18"/>
        </w:rPr>
        <w:t>“</w:t>
      </w:r>
      <w:r w:rsidR="00A55CA6">
        <w:rPr>
          <w:rFonts w:ascii="Arial" w:hAnsi="Arial" w:cs="Arial"/>
          <w:sz w:val="18"/>
          <w:szCs w:val="18"/>
          <w:u w:val="single"/>
        </w:rPr>
        <w:t>Tektronix</w:t>
      </w:r>
      <w:r w:rsidR="00377861" w:rsidRPr="00377861">
        <w:rPr>
          <w:rFonts w:ascii="Arial" w:hAnsi="Arial" w:cs="Arial"/>
          <w:sz w:val="18"/>
          <w:szCs w:val="18"/>
          <w:u w:val="single"/>
        </w:rPr>
        <w:t xml:space="preserve"> </w:t>
      </w:r>
      <w:r w:rsidR="00C65121" w:rsidRPr="00E80DCD">
        <w:rPr>
          <w:rFonts w:ascii="Arial" w:hAnsi="Arial" w:cs="Arial"/>
          <w:sz w:val="18"/>
          <w:szCs w:val="18"/>
          <w:u w:val="single"/>
        </w:rPr>
        <w:t>Policies</w:t>
      </w:r>
      <w:r w:rsidR="00FC1111" w:rsidRPr="00E80DCD">
        <w:rPr>
          <w:rFonts w:ascii="Arial" w:hAnsi="Arial" w:cs="Arial"/>
          <w:sz w:val="18"/>
          <w:szCs w:val="18"/>
          <w:u w:val="single"/>
        </w:rPr>
        <w:t>,</w:t>
      </w:r>
      <w:r w:rsidR="258F21BD" w:rsidRPr="00E80DCD">
        <w:rPr>
          <w:rFonts w:ascii="Arial" w:hAnsi="Arial" w:cs="Arial"/>
          <w:sz w:val="18"/>
          <w:szCs w:val="18"/>
          <w:u w:val="single"/>
        </w:rPr>
        <w:t xml:space="preserve"> </w:t>
      </w:r>
      <w:r w:rsidR="00C65121" w:rsidRPr="00E80DCD">
        <w:rPr>
          <w:rFonts w:ascii="Arial" w:hAnsi="Arial" w:cs="Arial"/>
          <w:sz w:val="18"/>
          <w:szCs w:val="18"/>
          <w:u w:val="single"/>
        </w:rPr>
        <w:t>Procedures</w:t>
      </w:r>
      <w:r w:rsidR="00FC1111" w:rsidRPr="00E80DCD">
        <w:rPr>
          <w:rFonts w:ascii="Arial" w:hAnsi="Arial" w:cs="Arial"/>
          <w:sz w:val="18"/>
          <w:szCs w:val="18"/>
          <w:u w:val="single"/>
        </w:rPr>
        <w:t xml:space="preserve"> and</w:t>
      </w:r>
      <w:r w:rsidR="005F6ACA" w:rsidRPr="00E80DCD">
        <w:rPr>
          <w:rFonts w:ascii="Arial" w:hAnsi="Arial" w:cs="Arial"/>
          <w:sz w:val="18"/>
          <w:szCs w:val="18"/>
          <w:u w:val="single"/>
        </w:rPr>
        <w:t>/or</w:t>
      </w:r>
      <w:r w:rsidR="00C65121" w:rsidRPr="00E80DCD">
        <w:rPr>
          <w:rFonts w:ascii="Arial" w:hAnsi="Arial" w:cs="Arial"/>
          <w:sz w:val="18"/>
          <w:szCs w:val="18"/>
          <w:u w:val="single"/>
        </w:rPr>
        <w:t xml:space="preserve"> Manual</w:t>
      </w:r>
      <w:r w:rsidR="00C65121" w:rsidRPr="00E80DCD">
        <w:rPr>
          <w:rFonts w:ascii="Arial" w:hAnsi="Arial" w:cs="Arial"/>
          <w:sz w:val="18"/>
          <w:szCs w:val="18"/>
        </w:rPr>
        <w:t>”)</w:t>
      </w:r>
      <w:r w:rsidRPr="00E80DCD">
        <w:rPr>
          <w:rFonts w:ascii="Arial" w:hAnsi="Arial" w:cs="Arial"/>
          <w:sz w:val="18"/>
          <w:szCs w:val="18"/>
        </w:rPr>
        <w:t>.</w:t>
      </w:r>
      <w:r w:rsidR="00315B80" w:rsidRPr="00E80DCD">
        <w:rPr>
          <w:rFonts w:ascii="Arial" w:hAnsi="Arial" w:cs="Arial"/>
          <w:sz w:val="18"/>
          <w:szCs w:val="18"/>
        </w:rPr>
        <w:t xml:space="preserve">  </w:t>
      </w:r>
      <w:r w:rsidR="0031285F" w:rsidRPr="00E80DCD">
        <w:rPr>
          <w:rFonts w:ascii="Arial" w:hAnsi="Arial" w:cs="Arial"/>
          <w:sz w:val="18"/>
          <w:szCs w:val="18"/>
        </w:rPr>
        <w:t xml:space="preserve"> </w:t>
      </w:r>
    </w:p>
    <w:p w14:paraId="6D85BDE2" w14:textId="4A8C8CDF" w:rsidR="00EE2017" w:rsidRPr="00E80DCD" w:rsidRDefault="00EE2017" w:rsidP="00580465">
      <w:pPr>
        <w:numPr>
          <w:ilvl w:val="0"/>
          <w:numId w:val="2"/>
        </w:numPr>
        <w:spacing w:before="120"/>
        <w:ind w:left="720"/>
        <w:jc w:val="both"/>
        <w:rPr>
          <w:rFonts w:ascii="Arial" w:hAnsi="Arial" w:cs="Arial"/>
          <w:sz w:val="18"/>
          <w:szCs w:val="18"/>
        </w:rPr>
      </w:pPr>
      <w:r w:rsidRPr="00E80DCD">
        <w:rPr>
          <w:rFonts w:ascii="Arial" w:hAnsi="Arial" w:cs="Arial"/>
          <w:sz w:val="18"/>
          <w:szCs w:val="18"/>
        </w:rPr>
        <w:t>Provide complete pre- and post-sales or installation support as applicable.  This may include pre-sale demonstration and training, complete installation, and continuous technical support, as well as hardware and software maintenance support.</w:t>
      </w:r>
    </w:p>
    <w:p w14:paraId="3ED27DDD" w14:textId="4E9D1B43" w:rsidR="00EE2017" w:rsidRPr="00E80DCD" w:rsidRDefault="00EE2017" w:rsidP="00580465">
      <w:pPr>
        <w:numPr>
          <w:ilvl w:val="0"/>
          <w:numId w:val="2"/>
        </w:numPr>
        <w:spacing w:before="120"/>
        <w:ind w:left="720"/>
        <w:jc w:val="both"/>
        <w:rPr>
          <w:rFonts w:ascii="Arial" w:hAnsi="Arial" w:cs="Arial"/>
          <w:sz w:val="18"/>
          <w:szCs w:val="18"/>
        </w:rPr>
      </w:pPr>
      <w:r w:rsidRPr="00E80DCD">
        <w:rPr>
          <w:rFonts w:ascii="Arial" w:hAnsi="Arial" w:cs="Arial"/>
          <w:sz w:val="18"/>
          <w:szCs w:val="18"/>
        </w:rPr>
        <w:t xml:space="preserve">Act as a </w:t>
      </w:r>
      <w:proofErr w:type="gramStart"/>
      <w:r w:rsidRPr="00E80DCD">
        <w:rPr>
          <w:rFonts w:ascii="Arial" w:hAnsi="Arial" w:cs="Arial"/>
          <w:sz w:val="18"/>
          <w:szCs w:val="18"/>
        </w:rPr>
        <w:t>conduit</w:t>
      </w:r>
      <w:proofErr w:type="gramEnd"/>
      <w:r w:rsidRPr="00E80DCD">
        <w:rPr>
          <w:rFonts w:ascii="Arial" w:hAnsi="Arial" w:cs="Arial"/>
          <w:sz w:val="18"/>
          <w:szCs w:val="18"/>
        </w:rPr>
        <w:t xml:space="preserve"> between </w:t>
      </w:r>
      <w:r w:rsidR="00A55CA6">
        <w:rPr>
          <w:rFonts w:ascii="Arial" w:hAnsi="Arial" w:cs="Arial"/>
          <w:sz w:val="18"/>
          <w:szCs w:val="18"/>
        </w:rPr>
        <w:t>Tektronix</w:t>
      </w:r>
      <w:r w:rsidRPr="00E80DCD">
        <w:rPr>
          <w:rFonts w:ascii="Arial" w:hAnsi="Arial" w:cs="Arial"/>
          <w:sz w:val="18"/>
          <w:szCs w:val="18"/>
        </w:rPr>
        <w:t xml:space="preserve"> and the customer with respect to </w:t>
      </w:r>
      <w:r w:rsidR="5AC3A87F" w:rsidRPr="00E80DCD">
        <w:rPr>
          <w:rFonts w:ascii="Arial" w:hAnsi="Arial" w:cs="Arial"/>
          <w:sz w:val="18"/>
          <w:szCs w:val="18"/>
        </w:rPr>
        <w:t>Services</w:t>
      </w:r>
      <w:r w:rsidRPr="00E80DCD">
        <w:rPr>
          <w:rFonts w:ascii="Arial" w:hAnsi="Arial" w:cs="Arial"/>
          <w:sz w:val="18"/>
          <w:szCs w:val="18"/>
        </w:rPr>
        <w:t>.</w:t>
      </w:r>
    </w:p>
    <w:p w14:paraId="2C335D61" w14:textId="7C2BB679" w:rsidR="00EE2017" w:rsidRPr="00E80DCD" w:rsidRDefault="00EE2017" w:rsidP="00580465">
      <w:pPr>
        <w:numPr>
          <w:ilvl w:val="0"/>
          <w:numId w:val="2"/>
        </w:numPr>
        <w:spacing w:before="120"/>
        <w:ind w:left="720"/>
        <w:jc w:val="both"/>
        <w:rPr>
          <w:rFonts w:ascii="Arial" w:hAnsi="Arial" w:cs="Arial"/>
          <w:sz w:val="18"/>
          <w:szCs w:val="18"/>
        </w:rPr>
      </w:pPr>
      <w:r w:rsidRPr="00E80DCD">
        <w:rPr>
          <w:rFonts w:ascii="Arial" w:hAnsi="Arial" w:cs="Arial"/>
          <w:sz w:val="18"/>
          <w:szCs w:val="18"/>
        </w:rPr>
        <w:t xml:space="preserve">Maintain records and provide </w:t>
      </w:r>
      <w:proofErr w:type="gramStart"/>
      <w:r w:rsidRPr="00E80DCD">
        <w:rPr>
          <w:rFonts w:ascii="Arial" w:hAnsi="Arial" w:cs="Arial"/>
          <w:sz w:val="18"/>
          <w:szCs w:val="18"/>
        </w:rPr>
        <w:t>point</w:t>
      </w:r>
      <w:proofErr w:type="gramEnd"/>
      <w:r w:rsidRPr="00E80DCD">
        <w:rPr>
          <w:rFonts w:ascii="Arial" w:hAnsi="Arial" w:cs="Arial"/>
          <w:sz w:val="18"/>
          <w:szCs w:val="18"/>
        </w:rPr>
        <w:t xml:space="preserve"> of sale and other reports as</w:t>
      </w:r>
      <w:r w:rsidR="00340C0E" w:rsidRPr="00E80DCD">
        <w:rPr>
          <w:rFonts w:ascii="Arial" w:hAnsi="Arial" w:cs="Arial"/>
          <w:sz w:val="18"/>
          <w:szCs w:val="18"/>
        </w:rPr>
        <w:t xml:space="preserve"> set out in the Policies</w:t>
      </w:r>
      <w:r w:rsidR="00EA135B" w:rsidRPr="00E80DCD">
        <w:rPr>
          <w:rFonts w:ascii="Arial" w:hAnsi="Arial" w:cs="Arial"/>
          <w:sz w:val="18"/>
          <w:szCs w:val="18"/>
        </w:rPr>
        <w:t>,</w:t>
      </w:r>
      <w:r w:rsidR="00340C0E" w:rsidRPr="00E80DCD">
        <w:rPr>
          <w:rFonts w:ascii="Arial" w:hAnsi="Arial" w:cs="Arial"/>
          <w:sz w:val="18"/>
          <w:szCs w:val="18"/>
        </w:rPr>
        <w:t xml:space="preserve"> Procedures</w:t>
      </w:r>
      <w:r w:rsidR="00EA135B" w:rsidRPr="00E80DCD">
        <w:rPr>
          <w:rFonts w:ascii="Arial" w:hAnsi="Arial" w:cs="Arial"/>
          <w:sz w:val="18"/>
          <w:szCs w:val="18"/>
        </w:rPr>
        <w:t>, and/or</w:t>
      </w:r>
      <w:r w:rsidR="00340C0E" w:rsidRPr="00E80DCD">
        <w:rPr>
          <w:rFonts w:ascii="Arial" w:hAnsi="Arial" w:cs="Arial"/>
          <w:sz w:val="18"/>
          <w:szCs w:val="18"/>
        </w:rPr>
        <w:t xml:space="preserve"> Manual or as otherwise</w:t>
      </w:r>
      <w:r w:rsidRPr="00E80DCD">
        <w:rPr>
          <w:rFonts w:ascii="Arial" w:hAnsi="Arial" w:cs="Arial"/>
          <w:sz w:val="18"/>
          <w:szCs w:val="18"/>
        </w:rPr>
        <w:t xml:space="preserve"> </w:t>
      </w:r>
      <w:r w:rsidR="004B4AEE" w:rsidRPr="00E80DCD">
        <w:rPr>
          <w:rFonts w:ascii="Arial" w:hAnsi="Arial" w:cs="Arial"/>
          <w:sz w:val="18"/>
          <w:szCs w:val="18"/>
        </w:rPr>
        <w:t>directed</w:t>
      </w:r>
      <w:r w:rsidRPr="00E80DCD">
        <w:rPr>
          <w:rFonts w:ascii="Arial" w:hAnsi="Arial" w:cs="Arial"/>
          <w:sz w:val="18"/>
          <w:szCs w:val="18"/>
        </w:rPr>
        <w:t xml:space="preserve"> by </w:t>
      </w:r>
      <w:r w:rsidR="00A55CA6">
        <w:rPr>
          <w:rFonts w:ascii="Arial" w:hAnsi="Arial" w:cs="Arial"/>
          <w:sz w:val="18"/>
          <w:szCs w:val="18"/>
        </w:rPr>
        <w:t>Tektronix</w:t>
      </w:r>
      <w:r w:rsidRPr="00E80DCD">
        <w:rPr>
          <w:rFonts w:ascii="Arial" w:hAnsi="Arial" w:cs="Arial"/>
          <w:sz w:val="18"/>
          <w:szCs w:val="18"/>
        </w:rPr>
        <w:t>.</w:t>
      </w:r>
    </w:p>
    <w:p w14:paraId="499220C3" w14:textId="77777777" w:rsidR="00EE2017" w:rsidRPr="00E80DCD" w:rsidRDefault="00EE2017" w:rsidP="00580465">
      <w:pPr>
        <w:numPr>
          <w:ilvl w:val="0"/>
          <w:numId w:val="2"/>
        </w:numPr>
        <w:spacing w:before="120"/>
        <w:ind w:left="720"/>
        <w:jc w:val="both"/>
        <w:rPr>
          <w:rFonts w:ascii="Arial" w:hAnsi="Arial" w:cs="Arial"/>
          <w:sz w:val="18"/>
          <w:szCs w:val="18"/>
        </w:rPr>
      </w:pPr>
      <w:r w:rsidRPr="00E80DCD">
        <w:rPr>
          <w:rFonts w:ascii="Arial" w:hAnsi="Arial" w:cs="Arial"/>
          <w:sz w:val="18"/>
          <w:szCs w:val="18"/>
        </w:rPr>
        <w:t>Conduct its affairs in an ethical and businesslike manner.</w:t>
      </w:r>
    </w:p>
    <w:p w14:paraId="05FFC078" w14:textId="775C96B1" w:rsidR="004B0F44" w:rsidRPr="00E80DCD" w:rsidRDefault="004B0F44" w:rsidP="00580465">
      <w:pPr>
        <w:numPr>
          <w:ilvl w:val="0"/>
          <w:numId w:val="2"/>
        </w:numPr>
        <w:spacing w:before="120"/>
        <w:ind w:left="720"/>
        <w:jc w:val="both"/>
        <w:rPr>
          <w:rFonts w:ascii="Arial" w:hAnsi="Arial" w:cs="Arial"/>
          <w:sz w:val="18"/>
          <w:szCs w:val="18"/>
        </w:rPr>
      </w:pPr>
      <w:r w:rsidRPr="00E80DCD">
        <w:rPr>
          <w:rFonts w:ascii="Arial" w:hAnsi="Arial" w:cs="Arial"/>
          <w:sz w:val="18"/>
          <w:szCs w:val="18"/>
        </w:rPr>
        <w:t xml:space="preserve">Comply with the functional criteria and further obligations applicable to the </w:t>
      </w:r>
      <w:r w:rsidR="0073573B" w:rsidRPr="00E80DCD">
        <w:rPr>
          <w:rFonts w:ascii="Arial" w:hAnsi="Arial" w:cs="Arial"/>
          <w:sz w:val="18"/>
          <w:szCs w:val="18"/>
        </w:rPr>
        <w:t>Partner</w:t>
      </w:r>
      <w:r w:rsidRPr="00E80DCD">
        <w:rPr>
          <w:rFonts w:ascii="Arial" w:hAnsi="Arial" w:cs="Arial"/>
          <w:sz w:val="18"/>
          <w:szCs w:val="18"/>
        </w:rPr>
        <w:t xml:space="preserve"> as detailed in the Supplement.</w:t>
      </w:r>
    </w:p>
    <w:p w14:paraId="70D87D03" w14:textId="2C919B15" w:rsidR="00A367A8" w:rsidRPr="00E80DCD" w:rsidRDefault="00A367A8" w:rsidP="00580465">
      <w:pPr>
        <w:pStyle w:val="ListParagraph"/>
        <w:numPr>
          <w:ilvl w:val="0"/>
          <w:numId w:val="2"/>
        </w:numPr>
        <w:tabs>
          <w:tab w:val="left" w:pos="5040"/>
        </w:tabs>
        <w:overflowPunct/>
        <w:autoSpaceDE/>
        <w:autoSpaceDN/>
        <w:adjustRightInd/>
        <w:spacing w:before="120"/>
        <w:ind w:left="720"/>
        <w:contextualSpacing w:val="0"/>
        <w:jc w:val="both"/>
        <w:textAlignment w:val="auto"/>
        <w:rPr>
          <w:rFonts w:ascii="Arial" w:hAnsi="Arial" w:cs="Arial"/>
          <w:sz w:val="18"/>
          <w:szCs w:val="18"/>
        </w:rPr>
      </w:pPr>
      <w:r w:rsidRPr="00E80DCD">
        <w:rPr>
          <w:rFonts w:ascii="Arial" w:hAnsi="Arial" w:cs="Arial"/>
          <w:sz w:val="18"/>
          <w:szCs w:val="18"/>
        </w:rPr>
        <w:t xml:space="preserve">Partner will not appoint any representative, agent, sub-distributor or dealer (“Appointee”) to assist in the promotion and/or sale of the Products </w:t>
      </w:r>
      <w:r w:rsidR="333A43E3" w:rsidRPr="00E80DCD">
        <w:rPr>
          <w:rFonts w:ascii="Arial" w:hAnsi="Arial" w:cs="Arial"/>
          <w:sz w:val="18"/>
          <w:szCs w:val="18"/>
        </w:rPr>
        <w:t xml:space="preserve">and/or Services </w:t>
      </w:r>
      <w:r w:rsidRPr="00E80DCD">
        <w:rPr>
          <w:rFonts w:ascii="Arial" w:hAnsi="Arial" w:cs="Arial"/>
          <w:sz w:val="18"/>
          <w:szCs w:val="18"/>
        </w:rPr>
        <w:t xml:space="preserve">in any </w:t>
      </w:r>
      <w:r w:rsidR="0041775B" w:rsidRPr="00E80DCD">
        <w:rPr>
          <w:rFonts w:ascii="Arial" w:hAnsi="Arial" w:cs="Arial"/>
          <w:sz w:val="18"/>
          <w:szCs w:val="18"/>
        </w:rPr>
        <w:t>Area of Authorization</w:t>
      </w:r>
      <w:r w:rsidR="003D0351" w:rsidRPr="00E80DCD">
        <w:rPr>
          <w:rFonts w:ascii="Arial" w:hAnsi="Arial" w:cs="Arial"/>
          <w:sz w:val="18"/>
          <w:szCs w:val="18"/>
        </w:rPr>
        <w:t xml:space="preserve"> </w:t>
      </w:r>
      <w:r w:rsidRPr="00E80DCD">
        <w:rPr>
          <w:rFonts w:ascii="Arial" w:hAnsi="Arial" w:cs="Arial"/>
          <w:sz w:val="18"/>
          <w:szCs w:val="18"/>
        </w:rPr>
        <w:t xml:space="preserve">without the prior written consent of </w:t>
      </w:r>
      <w:r w:rsidR="00A55CA6">
        <w:rPr>
          <w:rFonts w:ascii="Arial" w:hAnsi="Arial" w:cs="Arial"/>
          <w:sz w:val="18"/>
          <w:szCs w:val="18"/>
        </w:rPr>
        <w:t>Tektronix</w:t>
      </w:r>
      <w:r w:rsidRPr="00E80DCD">
        <w:rPr>
          <w:rFonts w:ascii="Arial" w:hAnsi="Arial" w:cs="Arial"/>
          <w:sz w:val="18"/>
          <w:szCs w:val="18"/>
        </w:rPr>
        <w:t xml:space="preserve">, which consent may be withheld in </w:t>
      </w:r>
      <w:r w:rsidR="00A55CA6">
        <w:rPr>
          <w:rFonts w:ascii="Arial" w:hAnsi="Arial" w:cs="Arial"/>
          <w:sz w:val="18"/>
          <w:szCs w:val="18"/>
        </w:rPr>
        <w:t>Tektronix</w:t>
      </w:r>
      <w:r w:rsidR="00377861">
        <w:rPr>
          <w:rFonts w:ascii="Arial" w:hAnsi="Arial" w:cs="Arial"/>
          <w:sz w:val="18"/>
          <w:szCs w:val="18"/>
        </w:rPr>
        <w:t>’s</w:t>
      </w:r>
      <w:r w:rsidRPr="00E80DCD">
        <w:rPr>
          <w:rFonts w:ascii="Arial" w:hAnsi="Arial" w:cs="Arial"/>
          <w:sz w:val="18"/>
          <w:szCs w:val="18"/>
        </w:rPr>
        <w:t xml:space="preserve"> sole and absolute discretion</w:t>
      </w:r>
      <w:r w:rsidR="005427D0">
        <w:rPr>
          <w:rFonts w:ascii="Arial" w:hAnsi="Arial" w:cs="Arial"/>
          <w:sz w:val="18"/>
          <w:szCs w:val="18"/>
        </w:rPr>
        <w:t>, as further provided in the Supplement</w:t>
      </w:r>
      <w:r w:rsidRPr="00E80DCD">
        <w:rPr>
          <w:rFonts w:ascii="Arial" w:hAnsi="Arial" w:cs="Arial"/>
          <w:sz w:val="18"/>
          <w:szCs w:val="18"/>
        </w:rPr>
        <w:t xml:space="preserve">. </w:t>
      </w:r>
      <w:r w:rsidR="005427D0">
        <w:rPr>
          <w:rFonts w:ascii="Arial" w:hAnsi="Arial" w:cs="Arial"/>
          <w:sz w:val="18"/>
          <w:szCs w:val="18"/>
        </w:rPr>
        <w:t xml:space="preserve"> </w:t>
      </w:r>
    </w:p>
    <w:p w14:paraId="3F877716" w14:textId="55553115" w:rsidR="00EE2017" w:rsidRPr="00580465" w:rsidRDefault="00EE2017" w:rsidP="00580465">
      <w:pPr>
        <w:pStyle w:val="ListParagraph"/>
        <w:numPr>
          <w:ilvl w:val="0"/>
          <w:numId w:val="16"/>
        </w:numPr>
        <w:tabs>
          <w:tab w:val="left" w:pos="360"/>
        </w:tabs>
        <w:spacing w:before="120"/>
        <w:contextualSpacing w:val="0"/>
        <w:jc w:val="both"/>
        <w:rPr>
          <w:rFonts w:ascii="Arial" w:hAnsi="Arial" w:cs="Arial"/>
          <w:sz w:val="18"/>
          <w:szCs w:val="18"/>
        </w:rPr>
      </w:pPr>
      <w:r w:rsidRPr="00580465">
        <w:rPr>
          <w:rFonts w:ascii="Arial" w:hAnsi="Arial" w:cs="Arial"/>
          <w:b/>
          <w:bCs/>
          <w:sz w:val="18"/>
          <w:szCs w:val="18"/>
        </w:rPr>
        <w:t>Independent Contractors.</w:t>
      </w:r>
      <w:r w:rsidRPr="00580465">
        <w:rPr>
          <w:rFonts w:ascii="Arial" w:hAnsi="Arial" w:cs="Arial"/>
          <w:sz w:val="18"/>
          <w:szCs w:val="18"/>
        </w:rPr>
        <w:t xml:space="preserve">  </w:t>
      </w:r>
      <w:r w:rsidR="00FC240E" w:rsidRPr="00580465">
        <w:rPr>
          <w:rFonts w:ascii="Arial" w:hAnsi="Arial" w:cs="Arial"/>
          <w:sz w:val="18"/>
          <w:szCs w:val="18"/>
        </w:rPr>
        <w:t xml:space="preserve">The relationship created by this </w:t>
      </w:r>
      <w:r w:rsidR="00C836DC" w:rsidRPr="00580465">
        <w:rPr>
          <w:rFonts w:ascii="Arial" w:hAnsi="Arial" w:cs="Arial"/>
          <w:sz w:val="18"/>
          <w:szCs w:val="18"/>
        </w:rPr>
        <w:t>Partner Agreement</w:t>
      </w:r>
      <w:r w:rsidR="00FC240E" w:rsidRPr="00580465">
        <w:rPr>
          <w:rFonts w:ascii="Arial" w:hAnsi="Arial" w:cs="Arial"/>
          <w:sz w:val="18"/>
          <w:szCs w:val="18"/>
        </w:rPr>
        <w:t xml:space="preserve"> is that of independent contractor and neither Partner nor any of its owners, directors, employees, representatives, agents or affiliate entities is authorized to hold itself out as an employee or agent of </w:t>
      </w:r>
      <w:r w:rsidR="00A55CA6">
        <w:rPr>
          <w:rFonts w:ascii="Arial" w:hAnsi="Arial" w:cs="Arial"/>
          <w:sz w:val="18"/>
          <w:szCs w:val="18"/>
        </w:rPr>
        <w:t>Tektronix</w:t>
      </w:r>
      <w:r w:rsidR="00FC240E" w:rsidRPr="00580465">
        <w:rPr>
          <w:rFonts w:ascii="Arial" w:hAnsi="Arial" w:cs="Arial"/>
          <w:sz w:val="18"/>
          <w:szCs w:val="18"/>
        </w:rPr>
        <w:t xml:space="preserve">, appoint others as partners, distributors, resellers or agents of </w:t>
      </w:r>
      <w:r w:rsidR="00A55CA6">
        <w:rPr>
          <w:rFonts w:ascii="Arial" w:hAnsi="Arial" w:cs="Arial"/>
          <w:sz w:val="18"/>
          <w:szCs w:val="18"/>
        </w:rPr>
        <w:t>Tektronix</w:t>
      </w:r>
      <w:r w:rsidR="00FC240E" w:rsidRPr="00580465">
        <w:rPr>
          <w:rFonts w:ascii="Arial" w:hAnsi="Arial" w:cs="Arial"/>
          <w:sz w:val="18"/>
          <w:szCs w:val="18"/>
        </w:rPr>
        <w:t xml:space="preserve">, enter into contracts or commitments in the name of </w:t>
      </w:r>
      <w:r w:rsidR="00A55CA6">
        <w:rPr>
          <w:rFonts w:ascii="Arial" w:hAnsi="Arial" w:cs="Arial"/>
          <w:sz w:val="18"/>
          <w:szCs w:val="18"/>
        </w:rPr>
        <w:t>Tektronix</w:t>
      </w:r>
      <w:r w:rsidR="00FC240E" w:rsidRPr="00580465">
        <w:rPr>
          <w:rFonts w:ascii="Arial" w:hAnsi="Arial" w:cs="Arial"/>
          <w:sz w:val="18"/>
          <w:szCs w:val="18"/>
        </w:rPr>
        <w:t xml:space="preserve">, or bind or otherwise obligate </w:t>
      </w:r>
      <w:r w:rsidR="00A55CA6">
        <w:rPr>
          <w:rFonts w:ascii="Arial" w:hAnsi="Arial" w:cs="Arial"/>
          <w:sz w:val="18"/>
          <w:szCs w:val="18"/>
        </w:rPr>
        <w:t>Tektronix</w:t>
      </w:r>
      <w:r w:rsidR="00FC240E" w:rsidRPr="00580465">
        <w:rPr>
          <w:rFonts w:ascii="Arial" w:hAnsi="Arial" w:cs="Arial"/>
          <w:sz w:val="18"/>
          <w:szCs w:val="18"/>
        </w:rPr>
        <w:t xml:space="preserve"> in any manner.</w:t>
      </w:r>
      <w:r w:rsidRPr="00580465">
        <w:rPr>
          <w:rFonts w:ascii="Arial" w:hAnsi="Arial" w:cs="Arial"/>
          <w:sz w:val="18"/>
          <w:szCs w:val="18"/>
        </w:rPr>
        <w:t xml:space="preserve">  Nothing contained in this</w:t>
      </w:r>
      <w:r w:rsidR="00C836DC" w:rsidRPr="00580465">
        <w:rPr>
          <w:rFonts w:ascii="Arial" w:hAnsi="Arial" w:cs="Arial"/>
          <w:sz w:val="18"/>
          <w:szCs w:val="18"/>
        </w:rPr>
        <w:t xml:space="preserve"> Partner</w:t>
      </w:r>
      <w:r w:rsidRPr="00580465">
        <w:rPr>
          <w:rFonts w:ascii="Arial" w:hAnsi="Arial" w:cs="Arial"/>
          <w:sz w:val="18"/>
          <w:szCs w:val="18"/>
        </w:rPr>
        <w:t xml:space="preserve"> Agreement is intended to create, nor does it create, a joint venture or partnership, or other relationship between the parties hereto other than the relationship of independent contractor between </w:t>
      </w:r>
      <w:r w:rsidR="0073573B" w:rsidRPr="00580465">
        <w:rPr>
          <w:rFonts w:ascii="Arial" w:hAnsi="Arial" w:cs="Arial"/>
          <w:sz w:val="18"/>
          <w:szCs w:val="18"/>
        </w:rPr>
        <w:t>Partner</w:t>
      </w:r>
      <w:r w:rsidRPr="00580465">
        <w:rPr>
          <w:rFonts w:ascii="Arial" w:hAnsi="Arial" w:cs="Arial"/>
          <w:sz w:val="18"/>
          <w:szCs w:val="18"/>
        </w:rPr>
        <w:t xml:space="preserve"> and </w:t>
      </w:r>
      <w:r w:rsidR="00A55CA6">
        <w:rPr>
          <w:rFonts w:ascii="Arial" w:hAnsi="Arial" w:cs="Arial"/>
          <w:sz w:val="18"/>
          <w:szCs w:val="18"/>
        </w:rPr>
        <w:t>Tektronix</w:t>
      </w:r>
      <w:r w:rsidRPr="00580465">
        <w:rPr>
          <w:rFonts w:ascii="Arial" w:hAnsi="Arial" w:cs="Arial"/>
          <w:sz w:val="18"/>
          <w:szCs w:val="18"/>
        </w:rPr>
        <w:t>.</w:t>
      </w:r>
    </w:p>
    <w:p w14:paraId="4AF0695F" w14:textId="08C59C03" w:rsidR="00EE2017" w:rsidRPr="006B21C0" w:rsidRDefault="00EE2017" w:rsidP="00580465">
      <w:pPr>
        <w:pStyle w:val="ListParagraph"/>
        <w:numPr>
          <w:ilvl w:val="0"/>
          <w:numId w:val="16"/>
        </w:numPr>
        <w:tabs>
          <w:tab w:val="left" w:pos="360"/>
        </w:tabs>
        <w:spacing w:before="120"/>
        <w:contextualSpacing w:val="0"/>
        <w:jc w:val="both"/>
        <w:rPr>
          <w:rFonts w:ascii="Arial" w:hAnsi="Arial" w:cs="Arial"/>
          <w:sz w:val="18"/>
          <w:szCs w:val="18"/>
        </w:rPr>
      </w:pPr>
      <w:r w:rsidRPr="006B21C0">
        <w:rPr>
          <w:rFonts w:ascii="Arial" w:hAnsi="Arial" w:cs="Arial"/>
          <w:b/>
          <w:bCs/>
          <w:sz w:val="18"/>
          <w:szCs w:val="18"/>
        </w:rPr>
        <w:t>Confidentiality.</w:t>
      </w:r>
      <w:r w:rsidRPr="006B21C0">
        <w:rPr>
          <w:rFonts w:ascii="Arial" w:hAnsi="Arial" w:cs="Arial"/>
          <w:sz w:val="18"/>
          <w:szCs w:val="18"/>
        </w:rPr>
        <w:t xml:space="preserve">  </w:t>
      </w:r>
      <w:r w:rsidR="0073573B" w:rsidRPr="006B21C0">
        <w:rPr>
          <w:rFonts w:ascii="Arial" w:hAnsi="Arial" w:cs="Arial"/>
          <w:sz w:val="18"/>
          <w:szCs w:val="18"/>
        </w:rPr>
        <w:t>Partner</w:t>
      </w:r>
      <w:r w:rsidRPr="006B21C0">
        <w:rPr>
          <w:rFonts w:ascii="Arial" w:hAnsi="Arial" w:cs="Arial"/>
          <w:sz w:val="18"/>
          <w:szCs w:val="18"/>
        </w:rPr>
        <w:t xml:space="preserve"> will </w:t>
      </w:r>
      <w:proofErr w:type="gramStart"/>
      <w:r w:rsidRPr="006B21C0">
        <w:rPr>
          <w:rFonts w:ascii="Arial" w:hAnsi="Arial" w:cs="Arial"/>
          <w:sz w:val="18"/>
          <w:szCs w:val="18"/>
        </w:rPr>
        <w:t>maintain in</w:t>
      </w:r>
      <w:proofErr w:type="gramEnd"/>
      <w:r w:rsidRPr="006B21C0">
        <w:rPr>
          <w:rFonts w:ascii="Arial" w:hAnsi="Arial" w:cs="Arial"/>
          <w:sz w:val="18"/>
          <w:szCs w:val="18"/>
        </w:rPr>
        <w:t xml:space="preserve"> confidence for </w:t>
      </w:r>
      <w:r w:rsidR="00A55CA6">
        <w:rPr>
          <w:rFonts w:ascii="Arial" w:hAnsi="Arial" w:cs="Arial"/>
          <w:sz w:val="18"/>
          <w:szCs w:val="18"/>
        </w:rPr>
        <w:t>Tektronix</w:t>
      </w:r>
      <w:r w:rsidRPr="006B21C0">
        <w:rPr>
          <w:rFonts w:ascii="Arial" w:hAnsi="Arial" w:cs="Arial"/>
          <w:sz w:val="18"/>
          <w:szCs w:val="18"/>
        </w:rPr>
        <w:t xml:space="preserve"> and not disclose to others or use for any purpose other than the performance of this</w:t>
      </w:r>
      <w:r w:rsidR="00C836DC" w:rsidRPr="006B21C0">
        <w:rPr>
          <w:rFonts w:ascii="Arial" w:hAnsi="Arial" w:cs="Arial"/>
          <w:sz w:val="18"/>
          <w:szCs w:val="18"/>
        </w:rPr>
        <w:t xml:space="preserve"> Partner</w:t>
      </w:r>
      <w:r w:rsidRPr="006B21C0">
        <w:rPr>
          <w:rFonts w:ascii="Arial" w:hAnsi="Arial" w:cs="Arial"/>
          <w:sz w:val="18"/>
          <w:szCs w:val="18"/>
        </w:rPr>
        <w:t xml:space="preserve"> Agreement any information or materials received from </w:t>
      </w:r>
      <w:r w:rsidR="00A55CA6">
        <w:rPr>
          <w:rFonts w:ascii="Arial" w:hAnsi="Arial" w:cs="Arial"/>
          <w:sz w:val="18"/>
          <w:szCs w:val="18"/>
        </w:rPr>
        <w:t>Tektronix</w:t>
      </w:r>
      <w:r w:rsidRPr="006B21C0">
        <w:rPr>
          <w:rFonts w:ascii="Arial" w:hAnsi="Arial" w:cs="Arial"/>
          <w:sz w:val="18"/>
          <w:szCs w:val="18"/>
        </w:rPr>
        <w:t xml:space="preserve"> that </w:t>
      </w:r>
      <w:r w:rsidR="00FC240E" w:rsidRPr="006B21C0">
        <w:rPr>
          <w:rFonts w:ascii="Arial" w:hAnsi="Arial" w:cs="Arial"/>
          <w:sz w:val="18"/>
          <w:szCs w:val="18"/>
        </w:rPr>
        <w:t xml:space="preserve">(i) </w:t>
      </w:r>
      <w:r w:rsidRPr="006B21C0">
        <w:rPr>
          <w:rFonts w:ascii="Arial" w:hAnsi="Arial" w:cs="Arial"/>
          <w:sz w:val="18"/>
          <w:szCs w:val="18"/>
        </w:rPr>
        <w:t>are identified as confidential or proprietary</w:t>
      </w:r>
      <w:r w:rsidR="00FC240E" w:rsidRPr="006B21C0">
        <w:rPr>
          <w:rFonts w:ascii="Arial" w:hAnsi="Arial" w:cs="Arial"/>
          <w:sz w:val="18"/>
          <w:szCs w:val="18"/>
        </w:rPr>
        <w:t xml:space="preserve"> either in writing or verbally or (ii) a reasonable person would understand to be confidential, given the nature or the circumstances surrounding their disclosure</w:t>
      </w:r>
      <w:r w:rsidRPr="006B21C0" w:rsidDel="00FC240E">
        <w:rPr>
          <w:rFonts w:ascii="Arial" w:hAnsi="Arial" w:cs="Arial"/>
          <w:sz w:val="18"/>
          <w:szCs w:val="18"/>
        </w:rPr>
        <w:t>.</w:t>
      </w:r>
      <w:r w:rsidR="005B2AA9" w:rsidRPr="006B21C0">
        <w:rPr>
          <w:rFonts w:ascii="Arial" w:hAnsi="Arial" w:cs="Arial"/>
          <w:sz w:val="18"/>
          <w:szCs w:val="18"/>
        </w:rPr>
        <w:t xml:space="preserve"> Partner shall also keep confidential the terms and conditions of this</w:t>
      </w:r>
      <w:r w:rsidR="00A741BA" w:rsidRPr="006B21C0">
        <w:rPr>
          <w:rFonts w:ascii="Arial" w:hAnsi="Arial" w:cs="Arial"/>
          <w:sz w:val="18"/>
          <w:szCs w:val="18"/>
        </w:rPr>
        <w:t xml:space="preserve"> Partner</w:t>
      </w:r>
      <w:r w:rsidR="005B2AA9" w:rsidRPr="006B21C0">
        <w:rPr>
          <w:rFonts w:ascii="Arial" w:hAnsi="Arial" w:cs="Arial"/>
          <w:sz w:val="18"/>
          <w:szCs w:val="18"/>
        </w:rPr>
        <w:t xml:space="preserve"> Agreement and the Supplement and any plans or strategies of </w:t>
      </w:r>
      <w:r w:rsidR="00A55CA6">
        <w:rPr>
          <w:rFonts w:ascii="Arial" w:hAnsi="Arial" w:cs="Arial"/>
          <w:sz w:val="18"/>
          <w:szCs w:val="18"/>
        </w:rPr>
        <w:t>Tektronix</w:t>
      </w:r>
      <w:r w:rsidR="005B2AA9" w:rsidRPr="006B21C0">
        <w:rPr>
          <w:rFonts w:ascii="Arial" w:hAnsi="Arial" w:cs="Arial"/>
          <w:sz w:val="18"/>
          <w:szCs w:val="18"/>
        </w:rPr>
        <w:t xml:space="preserve"> which are shared with Partner.</w:t>
      </w:r>
    </w:p>
    <w:p w14:paraId="04074E50" w14:textId="1FFED0C5" w:rsidR="00EE2017" w:rsidRPr="00CB00FE" w:rsidRDefault="00EE2017" w:rsidP="00580465">
      <w:pPr>
        <w:pStyle w:val="ListParagraph"/>
        <w:numPr>
          <w:ilvl w:val="0"/>
          <w:numId w:val="16"/>
        </w:numPr>
        <w:tabs>
          <w:tab w:val="left" w:pos="360"/>
        </w:tabs>
        <w:spacing w:before="120"/>
        <w:contextualSpacing w:val="0"/>
        <w:jc w:val="both"/>
        <w:rPr>
          <w:rFonts w:ascii="Arial" w:hAnsi="Arial" w:cs="Arial"/>
          <w:sz w:val="18"/>
          <w:szCs w:val="18"/>
        </w:rPr>
      </w:pPr>
      <w:r w:rsidRPr="00CB00FE">
        <w:rPr>
          <w:rFonts w:ascii="Arial" w:hAnsi="Arial" w:cs="Arial"/>
          <w:b/>
          <w:bCs/>
          <w:sz w:val="18"/>
          <w:szCs w:val="18"/>
        </w:rPr>
        <w:t>Software</w:t>
      </w:r>
      <w:r w:rsidRPr="00CB00FE">
        <w:rPr>
          <w:rFonts w:ascii="Arial" w:hAnsi="Arial" w:cs="Arial"/>
          <w:sz w:val="18"/>
          <w:szCs w:val="18"/>
        </w:rPr>
        <w:t xml:space="preserve">.  Some </w:t>
      </w:r>
      <w:r w:rsidR="00381693" w:rsidRPr="00CB00FE">
        <w:rPr>
          <w:rFonts w:ascii="Arial" w:hAnsi="Arial" w:cs="Arial"/>
          <w:sz w:val="18"/>
          <w:szCs w:val="18"/>
        </w:rPr>
        <w:t>P</w:t>
      </w:r>
      <w:r w:rsidRPr="00CB00FE">
        <w:rPr>
          <w:rFonts w:ascii="Arial" w:hAnsi="Arial" w:cs="Arial"/>
          <w:sz w:val="18"/>
          <w:szCs w:val="18"/>
        </w:rPr>
        <w:t xml:space="preserve">roducts may </w:t>
      </w:r>
      <w:r w:rsidR="006227D1" w:rsidRPr="00CB00FE">
        <w:rPr>
          <w:rFonts w:ascii="Arial" w:hAnsi="Arial" w:cs="Arial"/>
          <w:sz w:val="18"/>
          <w:szCs w:val="18"/>
        </w:rPr>
        <w:t xml:space="preserve">be or </w:t>
      </w:r>
      <w:r w:rsidRPr="00CB00FE">
        <w:rPr>
          <w:rFonts w:ascii="Arial" w:hAnsi="Arial" w:cs="Arial"/>
          <w:sz w:val="18"/>
          <w:szCs w:val="18"/>
        </w:rPr>
        <w:t>include software</w:t>
      </w:r>
      <w:r w:rsidR="006227D1" w:rsidRPr="00CB00FE">
        <w:rPr>
          <w:rFonts w:ascii="Arial" w:hAnsi="Arial" w:cs="Arial"/>
          <w:sz w:val="18"/>
          <w:szCs w:val="18"/>
        </w:rPr>
        <w:t xml:space="preserve"> or software-as-a-service (collectively, “Software”)</w:t>
      </w:r>
      <w:r w:rsidR="00FC3389" w:rsidRPr="00CB00FE">
        <w:rPr>
          <w:rFonts w:ascii="Arial" w:hAnsi="Arial" w:cs="Arial"/>
          <w:sz w:val="18"/>
          <w:szCs w:val="18"/>
        </w:rPr>
        <w:t xml:space="preserve">. The supply of Software </w:t>
      </w:r>
      <w:r w:rsidR="006D5417" w:rsidRPr="00CB00FE">
        <w:rPr>
          <w:rFonts w:ascii="Arial" w:hAnsi="Arial" w:cs="Arial"/>
          <w:sz w:val="18"/>
          <w:szCs w:val="18"/>
        </w:rPr>
        <w:t xml:space="preserve">by </w:t>
      </w:r>
      <w:r w:rsidR="00A55CA6">
        <w:rPr>
          <w:rFonts w:ascii="Arial" w:hAnsi="Arial" w:cs="Arial"/>
          <w:sz w:val="18"/>
          <w:szCs w:val="18"/>
        </w:rPr>
        <w:t>Tektronix</w:t>
      </w:r>
      <w:r w:rsidR="006D5417" w:rsidRPr="00CB00FE">
        <w:rPr>
          <w:rFonts w:ascii="Arial" w:hAnsi="Arial" w:cs="Arial"/>
          <w:sz w:val="18"/>
          <w:szCs w:val="18"/>
        </w:rPr>
        <w:t xml:space="preserve"> </w:t>
      </w:r>
      <w:r w:rsidR="00FC3389" w:rsidRPr="00CB00FE">
        <w:rPr>
          <w:rFonts w:ascii="Arial" w:hAnsi="Arial" w:cs="Arial"/>
          <w:sz w:val="18"/>
          <w:szCs w:val="18"/>
        </w:rPr>
        <w:t>is</w:t>
      </w:r>
      <w:r w:rsidRPr="00CB00FE">
        <w:rPr>
          <w:rFonts w:ascii="Arial" w:hAnsi="Arial" w:cs="Arial"/>
          <w:sz w:val="18"/>
          <w:szCs w:val="18"/>
        </w:rPr>
        <w:t xml:space="preserve"> subject to </w:t>
      </w:r>
      <w:r w:rsidR="001151FE" w:rsidRPr="00CB00FE">
        <w:rPr>
          <w:rFonts w:ascii="Arial" w:hAnsi="Arial" w:cs="Arial"/>
          <w:sz w:val="18"/>
          <w:szCs w:val="18"/>
        </w:rPr>
        <w:t xml:space="preserve">the </w:t>
      </w:r>
      <w:r w:rsidR="000D227B" w:rsidRPr="00CB00FE">
        <w:rPr>
          <w:rFonts w:ascii="Arial" w:hAnsi="Arial" w:cs="Arial"/>
          <w:sz w:val="18"/>
          <w:szCs w:val="18"/>
        </w:rPr>
        <w:t>End User</w:t>
      </w:r>
      <w:r w:rsidRPr="00CB00FE">
        <w:rPr>
          <w:rFonts w:ascii="Arial" w:hAnsi="Arial" w:cs="Arial"/>
          <w:sz w:val="18"/>
          <w:szCs w:val="18"/>
        </w:rPr>
        <w:t xml:space="preserve"> </w:t>
      </w:r>
      <w:r w:rsidR="000D227B" w:rsidRPr="00CB00FE">
        <w:rPr>
          <w:rFonts w:ascii="Arial" w:hAnsi="Arial" w:cs="Arial"/>
          <w:sz w:val="18"/>
          <w:szCs w:val="18"/>
        </w:rPr>
        <w:t>L</w:t>
      </w:r>
      <w:r w:rsidRPr="00CB00FE">
        <w:rPr>
          <w:rFonts w:ascii="Arial" w:hAnsi="Arial" w:cs="Arial"/>
          <w:sz w:val="18"/>
          <w:szCs w:val="18"/>
        </w:rPr>
        <w:t>icense agreement</w:t>
      </w:r>
      <w:r w:rsidR="000D227B" w:rsidRPr="00CB00FE">
        <w:rPr>
          <w:rFonts w:ascii="Arial" w:hAnsi="Arial" w:cs="Arial"/>
          <w:sz w:val="18"/>
          <w:szCs w:val="18"/>
        </w:rPr>
        <w:t xml:space="preserve"> available at https://www.tek.com/en/terms_and_conditions</w:t>
      </w:r>
      <w:r w:rsidR="00CB00FE">
        <w:rPr>
          <w:rFonts w:ascii="Arial" w:hAnsi="Arial" w:cs="Arial"/>
          <w:sz w:val="18"/>
          <w:szCs w:val="18"/>
        </w:rPr>
        <w:t>.</w:t>
      </w:r>
      <w:r w:rsidRPr="00CB00FE">
        <w:rPr>
          <w:rFonts w:ascii="Arial" w:hAnsi="Arial" w:cs="Arial"/>
          <w:sz w:val="18"/>
          <w:szCs w:val="18"/>
        </w:rPr>
        <w:t xml:space="preserve"> </w:t>
      </w:r>
    </w:p>
    <w:p w14:paraId="6D019DCD" w14:textId="55529E16" w:rsidR="00FF4E04" w:rsidRPr="00580465" w:rsidRDefault="00EE2017" w:rsidP="00580465">
      <w:pPr>
        <w:pStyle w:val="ListParagraph"/>
        <w:numPr>
          <w:ilvl w:val="0"/>
          <w:numId w:val="16"/>
        </w:numPr>
        <w:tabs>
          <w:tab w:val="left" w:pos="360"/>
        </w:tabs>
        <w:spacing w:before="120" w:after="120"/>
        <w:contextualSpacing w:val="0"/>
        <w:jc w:val="both"/>
        <w:rPr>
          <w:rFonts w:ascii="Arial" w:hAnsi="Arial" w:cs="Arial"/>
          <w:sz w:val="18"/>
          <w:szCs w:val="18"/>
        </w:rPr>
      </w:pPr>
      <w:r w:rsidRPr="00580465">
        <w:rPr>
          <w:rFonts w:ascii="Arial" w:hAnsi="Arial" w:cs="Arial"/>
          <w:b/>
          <w:bCs/>
          <w:sz w:val="18"/>
          <w:szCs w:val="18"/>
        </w:rPr>
        <w:t>Trademark</w:t>
      </w:r>
      <w:r w:rsidR="4D6D1B3D" w:rsidRPr="00580465">
        <w:rPr>
          <w:rFonts w:ascii="Arial" w:hAnsi="Arial" w:cs="Arial"/>
          <w:b/>
          <w:bCs/>
          <w:sz w:val="18"/>
          <w:szCs w:val="18"/>
        </w:rPr>
        <w:t xml:space="preserve"> License to Partner</w:t>
      </w:r>
      <w:bookmarkStart w:id="0" w:name="_Ref483314651"/>
      <w:r w:rsidR="00FF4E04" w:rsidRPr="00580465">
        <w:rPr>
          <w:rFonts w:ascii="Arial" w:hAnsi="Arial" w:cs="Arial"/>
          <w:b/>
          <w:bCs/>
          <w:sz w:val="18"/>
          <w:szCs w:val="18"/>
        </w:rPr>
        <w:t>.</w:t>
      </w:r>
      <w:r w:rsidR="00FF4E04" w:rsidRPr="00580465">
        <w:rPr>
          <w:rFonts w:ascii="Arial" w:hAnsi="Arial" w:cs="Arial"/>
          <w:sz w:val="18"/>
          <w:szCs w:val="18"/>
        </w:rPr>
        <w:t xml:space="preserve">  </w:t>
      </w:r>
      <w:r w:rsidR="00A55CA6">
        <w:rPr>
          <w:rFonts w:ascii="Arial" w:hAnsi="Arial" w:cs="Arial"/>
          <w:sz w:val="18"/>
          <w:szCs w:val="18"/>
        </w:rPr>
        <w:t>Tektronix</w:t>
      </w:r>
      <w:r w:rsidR="06AC9DF1" w:rsidRPr="00580465">
        <w:rPr>
          <w:rFonts w:ascii="Arial" w:eastAsia="Arial" w:hAnsi="Arial" w:cs="Arial"/>
          <w:sz w:val="18"/>
          <w:szCs w:val="18"/>
        </w:rPr>
        <w:t xml:space="preserve"> grants to </w:t>
      </w:r>
      <w:r w:rsidR="45953CC6" w:rsidRPr="00580465">
        <w:rPr>
          <w:rFonts w:ascii="Arial" w:eastAsia="Arial" w:hAnsi="Arial" w:cs="Arial"/>
          <w:sz w:val="18"/>
          <w:szCs w:val="18"/>
        </w:rPr>
        <w:t xml:space="preserve">Partner </w:t>
      </w:r>
      <w:r w:rsidR="06AC9DF1" w:rsidRPr="00580465">
        <w:rPr>
          <w:rFonts w:ascii="Arial" w:eastAsia="Arial" w:hAnsi="Arial" w:cs="Arial"/>
          <w:sz w:val="18"/>
          <w:szCs w:val="18"/>
        </w:rPr>
        <w:t xml:space="preserve">a limited, nontransferable, nonexclusive license during the </w:t>
      </w:r>
      <w:r w:rsidR="5853203C" w:rsidRPr="00580465">
        <w:rPr>
          <w:rFonts w:ascii="Arial" w:eastAsia="Arial" w:hAnsi="Arial" w:cs="Arial"/>
          <w:sz w:val="18"/>
          <w:szCs w:val="18"/>
        </w:rPr>
        <w:t>t</w:t>
      </w:r>
      <w:r w:rsidR="06AC9DF1" w:rsidRPr="00580465">
        <w:rPr>
          <w:rFonts w:ascii="Arial" w:eastAsia="Arial" w:hAnsi="Arial" w:cs="Arial"/>
          <w:sz w:val="18"/>
          <w:szCs w:val="18"/>
        </w:rPr>
        <w:t xml:space="preserve">erm </w:t>
      </w:r>
      <w:r w:rsidR="0E1362A4" w:rsidRPr="00580465">
        <w:rPr>
          <w:rFonts w:ascii="Arial" w:eastAsia="Arial" w:hAnsi="Arial" w:cs="Arial"/>
          <w:sz w:val="18"/>
          <w:szCs w:val="18"/>
        </w:rPr>
        <w:t xml:space="preserve">of the relevant Supplement or this Agreement (as applicable) </w:t>
      </w:r>
      <w:r w:rsidR="06AC9DF1" w:rsidRPr="00580465">
        <w:rPr>
          <w:rFonts w:ascii="Arial" w:eastAsia="Arial" w:hAnsi="Arial" w:cs="Arial"/>
          <w:sz w:val="18"/>
          <w:szCs w:val="18"/>
        </w:rPr>
        <w:t>to use</w:t>
      </w:r>
      <w:r w:rsidR="06AC9DF1" w:rsidRPr="00580465">
        <w:rPr>
          <w:rFonts w:ascii="Arial" w:hAnsi="Arial" w:cs="Arial"/>
          <w:sz w:val="18"/>
          <w:szCs w:val="18"/>
        </w:rPr>
        <w:t xml:space="preserve"> </w:t>
      </w:r>
      <w:r w:rsidR="00FF4E04" w:rsidRPr="00580465">
        <w:rPr>
          <w:rFonts w:ascii="Arial" w:hAnsi="Arial" w:cs="Arial"/>
          <w:sz w:val="18"/>
          <w:szCs w:val="18"/>
        </w:rPr>
        <w:t xml:space="preserve"> </w:t>
      </w:r>
      <w:r w:rsidR="00A55CA6">
        <w:rPr>
          <w:rFonts w:ascii="Arial" w:hAnsi="Arial" w:cs="Arial"/>
          <w:sz w:val="18"/>
          <w:szCs w:val="18"/>
        </w:rPr>
        <w:t>Tektronix</w:t>
      </w:r>
      <w:r w:rsidR="00FF4E04" w:rsidRPr="00580465">
        <w:rPr>
          <w:rFonts w:ascii="Arial" w:hAnsi="Arial" w:cs="Arial"/>
          <w:sz w:val="18"/>
          <w:szCs w:val="18"/>
        </w:rPr>
        <w:t xml:space="preserve"> trademarks, service marks, trade dress, and other registered and common law trademarks, copyrights</w:t>
      </w:r>
      <w:r w:rsidR="00FD0856" w:rsidRPr="00580465">
        <w:rPr>
          <w:rFonts w:ascii="Arial" w:hAnsi="Arial" w:cs="Arial"/>
          <w:sz w:val="18"/>
          <w:szCs w:val="18"/>
        </w:rPr>
        <w:t xml:space="preserve"> which are specifically</w:t>
      </w:r>
      <w:r w:rsidR="00FF4E04" w:rsidRPr="00580465">
        <w:rPr>
          <w:rFonts w:ascii="Arial" w:hAnsi="Arial" w:cs="Arial"/>
          <w:sz w:val="18"/>
          <w:szCs w:val="18"/>
        </w:rPr>
        <w:t xml:space="preserve"> </w:t>
      </w:r>
      <w:r w:rsidR="00FD0856" w:rsidRPr="00580465">
        <w:rPr>
          <w:rFonts w:ascii="Arial" w:hAnsi="Arial" w:cs="Arial"/>
          <w:sz w:val="18"/>
          <w:szCs w:val="18"/>
        </w:rPr>
        <w:t xml:space="preserve">associated with the Products and Services being sold by the Partner </w:t>
      </w:r>
      <w:r w:rsidR="00FF4E04" w:rsidRPr="00580465">
        <w:rPr>
          <w:rFonts w:ascii="Arial" w:hAnsi="Arial" w:cs="Arial"/>
          <w:sz w:val="18"/>
          <w:szCs w:val="18"/>
        </w:rPr>
        <w:t xml:space="preserve">in photographs, graphics, and text, trade secrets and proprietary information (collectively referred to herein as “Intellectual Property”) solely for the purpose of promoting and soliciting sales of the Products </w:t>
      </w:r>
      <w:r w:rsidR="00D335B9" w:rsidRPr="00580465">
        <w:rPr>
          <w:rFonts w:ascii="Arial" w:hAnsi="Arial" w:cs="Arial"/>
          <w:sz w:val="18"/>
          <w:szCs w:val="18"/>
        </w:rPr>
        <w:t xml:space="preserve">and/or Services </w:t>
      </w:r>
      <w:r w:rsidR="00FF4E04" w:rsidRPr="00580465">
        <w:rPr>
          <w:rFonts w:ascii="Arial" w:hAnsi="Arial" w:cs="Arial"/>
          <w:sz w:val="18"/>
          <w:szCs w:val="18"/>
        </w:rPr>
        <w:t>under this Partner Agreement</w:t>
      </w:r>
      <w:r w:rsidR="00C779D1" w:rsidRPr="00580465">
        <w:rPr>
          <w:rFonts w:ascii="Arial" w:hAnsi="Arial" w:cs="Arial"/>
          <w:sz w:val="18"/>
          <w:szCs w:val="18"/>
        </w:rPr>
        <w:t xml:space="preserve"> and only in accordance with</w:t>
      </w:r>
      <w:r w:rsidR="006E0C25" w:rsidRPr="00580465">
        <w:rPr>
          <w:rFonts w:ascii="Arial" w:hAnsi="Arial" w:cs="Arial"/>
          <w:sz w:val="18"/>
          <w:szCs w:val="18"/>
        </w:rPr>
        <w:t xml:space="preserve"> guidelines issued by </w:t>
      </w:r>
      <w:r w:rsidR="00A55CA6">
        <w:rPr>
          <w:rFonts w:ascii="Arial" w:hAnsi="Arial" w:cs="Arial"/>
          <w:sz w:val="18"/>
          <w:szCs w:val="18"/>
        </w:rPr>
        <w:t>Tektronix</w:t>
      </w:r>
      <w:r w:rsidR="006E0C25" w:rsidRPr="00580465">
        <w:rPr>
          <w:rFonts w:ascii="Arial" w:hAnsi="Arial" w:cs="Arial"/>
          <w:sz w:val="18"/>
          <w:szCs w:val="18"/>
        </w:rPr>
        <w:t xml:space="preserve"> from time to time.</w:t>
      </w:r>
      <w:bookmarkEnd w:id="0"/>
      <w:r w:rsidR="00FF4E04" w:rsidRPr="00580465">
        <w:rPr>
          <w:rFonts w:ascii="Arial" w:hAnsi="Arial" w:cs="Arial"/>
          <w:sz w:val="18"/>
          <w:szCs w:val="18"/>
        </w:rPr>
        <w:t xml:space="preserve">  </w:t>
      </w:r>
    </w:p>
    <w:p w14:paraId="342EF26C" w14:textId="05057C57" w:rsidR="00194D44" w:rsidRPr="00E80DCD" w:rsidRDefault="00A55CA6" w:rsidP="00580465">
      <w:pPr>
        <w:pStyle w:val="ListParagraph"/>
        <w:tabs>
          <w:tab w:val="left" w:pos="360"/>
        </w:tabs>
        <w:spacing w:before="120" w:after="120"/>
        <w:ind w:left="360"/>
        <w:contextualSpacing w:val="0"/>
        <w:jc w:val="both"/>
        <w:rPr>
          <w:rFonts w:ascii="Arial" w:hAnsi="Arial" w:cs="Arial"/>
          <w:sz w:val="18"/>
          <w:szCs w:val="18"/>
        </w:rPr>
      </w:pPr>
      <w:r>
        <w:rPr>
          <w:rStyle w:val="cf01"/>
          <w:rFonts w:ascii="Arial" w:hAnsi="Arial" w:cs="Arial"/>
        </w:rPr>
        <w:t>Tektronix</w:t>
      </w:r>
      <w:r w:rsidR="00194D44" w:rsidRPr="00E80DCD">
        <w:rPr>
          <w:rStyle w:val="cf01"/>
          <w:rFonts w:ascii="Arial" w:hAnsi="Arial" w:cs="Arial"/>
        </w:rPr>
        <w:t xml:space="preserve"> maintains exclusive title to trademarks and retains all rights not explicitly granted by this Agreement. Partner will not challenge or take any action that interferes with </w:t>
      </w:r>
      <w:r>
        <w:rPr>
          <w:rStyle w:val="cf01"/>
          <w:rFonts w:ascii="Arial" w:hAnsi="Arial" w:cs="Arial"/>
        </w:rPr>
        <w:t>Tektronix</w:t>
      </w:r>
      <w:r w:rsidR="00194D44" w:rsidRPr="00E80DCD">
        <w:rPr>
          <w:rStyle w:val="cf01"/>
          <w:rFonts w:ascii="Arial" w:hAnsi="Arial" w:cs="Arial"/>
        </w:rPr>
        <w:t>’</w:t>
      </w:r>
      <w:r w:rsidR="00377861">
        <w:rPr>
          <w:rStyle w:val="cf01"/>
          <w:rFonts w:ascii="Arial" w:hAnsi="Arial" w:cs="Arial"/>
        </w:rPr>
        <w:t>s</w:t>
      </w:r>
      <w:r w:rsidR="00194D44" w:rsidRPr="00E80DCD">
        <w:rPr>
          <w:rStyle w:val="cf01"/>
          <w:rFonts w:ascii="Arial" w:hAnsi="Arial" w:cs="Arial"/>
        </w:rPr>
        <w:t xml:space="preserve"> rights in trademarks. Distributor shall not directly or indirectly use any trademarks, any part of trademarks, any trade names or service names confusingly </w:t>
      </w:r>
      <w:proofErr w:type="gramStart"/>
      <w:r w:rsidR="00194D44" w:rsidRPr="00E80DCD">
        <w:rPr>
          <w:rStyle w:val="cf01"/>
          <w:rFonts w:ascii="Arial" w:hAnsi="Arial" w:cs="Arial"/>
        </w:rPr>
        <w:t>similar to</w:t>
      </w:r>
      <w:proofErr w:type="gramEnd"/>
      <w:r w:rsidR="00194D44" w:rsidRPr="00E80DCD">
        <w:rPr>
          <w:rStyle w:val="cf01"/>
          <w:rFonts w:ascii="Arial" w:hAnsi="Arial" w:cs="Arial"/>
        </w:rPr>
        <w:t xml:space="preserve"> </w:t>
      </w:r>
      <w:r>
        <w:rPr>
          <w:rStyle w:val="cf01"/>
          <w:rFonts w:ascii="Arial" w:hAnsi="Arial" w:cs="Arial"/>
        </w:rPr>
        <w:t>Tektronix</w:t>
      </w:r>
      <w:r w:rsidR="00194D44" w:rsidRPr="00E80DCD">
        <w:rPr>
          <w:rStyle w:val="cf01"/>
          <w:rFonts w:ascii="Arial" w:hAnsi="Arial" w:cs="Arial"/>
        </w:rPr>
        <w:t xml:space="preserve"> trademarks, trade names, and service names, as part of its business names or in any manner except as explicitly authorized by </w:t>
      </w:r>
      <w:r>
        <w:rPr>
          <w:rStyle w:val="cf01"/>
          <w:rFonts w:ascii="Arial" w:hAnsi="Arial" w:cs="Arial"/>
        </w:rPr>
        <w:t>Tektronix</w:t>
      </w:r>
      <w:r w:rsidR="00194D44" w:rsidRPr="00E80DCD">
        <w:rPr>
          <w:rStyle w:val="cf01"/>
          <w:rFonts w:ascii="Arial" w:hAnsi="Arial" w:cs="Arial"/>
        </w:rPr>
        <w:t xml:space="preserve">. Upon the earlier of expiration of the term or termination of this Agreement, any authorized rights to use </w:t>
      </w:r>
      <w:r>
        <w:rPr>
          <w:rStyle w:val="cf01"/>
          <w:rFonts w:ascii="Arial" w:hAnsi="Arial" w:cs="Arial"/>
        </w:rPr>
        <w:t>Tektronix</w:t>
      </w:r>
      <w:r w:rsidR="00194D44" w:rsidRPr="00E80DCD">
        <w:rPr>
          <w:rStyle w:val="cf01"/>
          <w:rFonts w:ascii="Arial" w:hAnsi="Arial" w:cs="Arial"/>
        </w:rPr>
        <w:t xml:space="preserve"> trademarks, trade names, and service names in a business name shall revert to </w:t>
      </w:r>
      <w:r>
        <w:rPr>
          <w:rStyle w:val="cf01"/>
          <w:rFonts w:ascii="Arial" w:hAnsi="Arial" w:cs="Arial"/>
        </w:rPr>
        <w:t>Tektronix</w:t>
      </w:r>
      <w:r w:rsidR="00194D44" w:rsidRPr="00E80DCD">
        <w:rPr>
          <w:rStyle w:val="cf01"/>
          <w:rFonts w:ascii="Arial" w:hAnsi="Arial" w:cs="Arial"/>
        </w:rPr>
        <w:t xml:space="preserve"> at no cost and Partner shall assist with perfecting, registering, or transferring any such rights. Partner shall not register or attempt to register trademarks, any part of trademarks, trade names, and service names confusingly </w:t>
      </w:r>
      <w:proofErr w:type="gramStart"/>
      <w:r w:rsidR="00194D44" w:rsidRPr="00E80DCD">
        <w:rPr>
          <w:rStyle w:val="cf01"/>
          <w:rFonts w:ascii="Arial" w:hAnsi="Arial" w:cs="Arial"/>
        </w:rPr>
        <w:t>similar to</w:t>
      </w:r>
      <w:proofErr w:type="gramEnd"/>
      <w:r w:rsidR="00194D44" w:rsidRPr="00E80DCD">
        <w:rPr>
          <w:rStyle w:val="cf01"/>
          <w:rFonts w:ascii="Arial" w:hAnsi="Arial" w:cs="Arial"/>
        </w:rPr>
        <w:t xml:space="preserve"> </w:t>
      </w:r>
      <w:r>
        <w:rPr>
          <w:rStyle w:val="cf01"/>
          <w:rFonts w:ascii="Arial" w:hAnsi="Arial" w:cs="Arial"/>
        </w:rPr>
        <w:t>Tektronix</w:t>
      </w:r>
      <w:r w:rsidR="00194D44" w:rsidRPr="00E80DCD">
        <w:rPr>
          <w:rStyle w:val="cf01"/>
          <w:rFonts w:ascii="Arial" w:hAnsi="Arial" w:cs="Arial"/>
        </w:rPr>
        <w:t xml:space="preserve"> trademarks, trade names, and service names. Any such </w:t>
      </w:r>
      <w:r w:rsidR="00194D44" w:rsidRPr="00E80DCD">
        <w:rPr>
          <w:rStyle w:val="cf01"/>
          <w:rFonts w:ascii="Arial" w:hAnsi="Arial" w:cs="Arial"/>
        </w:rPr>
        <w:lastRenderedPageBreak/>
        <w:t>unauthorize</w:t>
      </w:r>
      <w:r w:rsidR="00FA0DB0" w:rsidRPr="00E80DCD">
        <w:rPr>
          <w:rStyle w:val="cf01"/>
          <w:rFonts w:ascii="Arial" w:hAnsi="Arial" w:cs="Arial"/>
        </w:rPr>
        <w:t xml:space="preserve">d registration will </w:t>
      </w:r>
      <w:proofErr w:type="gramStart"/>
      <w:r w:rsidR="00FA0DB0" w:rsidRPr="00E80DCD">
        <w:rPr>
          <w:rStyle w:val="cf01"/>
          <w:rFonts w:ascii="Arial" w:hAnsi="Arial" w:cs="Arial"/>
        </w:rPr>
        <w:t>inure</w:t>
      </w:r>
      <w:proofErr w:type="gramEnd"/>
      <w:r w:rsidR="00FA0DB0" w:rsidRPr="00E80DCD">
        <w:rPr>
          <w:rStyle w:val="cf01"/>
          <w:rFonts w:ascii="Arial" w:hAnsi="Arial" w:cs="Arial"/>
        </w:rPr>
        <w:t xml:space="preserve"> to the benefit of </w:t>
      </w:r>
      <w:r>
        <w:rPr>
          <w:rStyle w:val="cf01"/>
          <w:rFonts w:ascii="Arial" w:hAnsi="Arial" w:cs="Arial"/>
        </w:rPr>
        <w:t>Tektronix</w:t>
      </w:r>
      <w:r w:rsidR="00FA0DB0" w:rsidRPr="00E80DCD">
        <w:rPr>
          <w:rStyle w:val="cf01"/>
          <w:rFonts w:ascii="Arial" w:hAnsi="Arial" w:cs="Arial"/>
        </w:rPr>
        <w:t xml:space="preserve"> and not to the benefit of Partner. The provisions of this Subsection 7(c) shall survive the expiration of the term and termination of this Agreement.</w:t>
      </w:r>
    </w:p>
    <w:p w14:paraId="7648F7A8" w14:textId="12E6D930" w:rsidR="00EE2017" w:rsidRPr="00580465" w:rsidRDefault="00EE2017" w:rsidP="00580465">
      <w:pPr>
        <w:pStyle w:val="ListParagraph"/>
        <w:numPr>
          <w:ilvl w:val="0"/>
          <w:numId w:val="16"/>
        </w:numPr>
        <w:tabs>
          <w:tab w:val="left" w:pos="360"/>
        </w:tabs>
        <w:spacing w:before="120"/>
        <w:contextualSpacing w:val="0"/>
        <w:jc w:val="both"/>
        <w:rPr>
          <w:rFonts w:ascii="Arial" w:hAnsi="Arial" w:cs="Arial"/>
          <w:sz w:val="18"/>
          <w:szCs w:val="18"/>
        </w:rPr>
      </w:pPr>
      <w:r w:rsidRPr="00580465">
        <w:rPr>
          <w:rFonts w:ascii="Arial" w:hAnsi="Arial" w:cs="Arial"/>
          <w:b/>
          <w:bCs/>
          <w:sz w:val="18"/>
          <w:szCs w:val="18"/>
        </w:rPr>
        <w:t>Compliance with Laws.</w:t>
      </w:r>
      <w:r w:rsidRPr="00580465">
        <w:rPr>
          <w:rFonts w:ascii="Arial" w:hAnsi="Arial" w:cs="Arial"/>
          <w:sz w:val="18"/>
          <w:szCs w:val="18"/>
        </w:rPr>
        <w:t xml:space="preserve">  </w:t>
      </w:r>
    </w:p>
    <w:p w14:paraId="322AA2BE" w14:textId="3E7FBF0B" w:rsidR="007A450E" w:rsidRPr="00E80DCD" w:rsidRDefault="007A450E" w:rsidP="00580465">
      <w:pPr>
        <w:pStyle w:val="ListParagraph"/>
        <w:numPr>
          <w:ilvl w:val="1"/>
          <w:numId w:val="12"/>
        </w:numPr>
        <w:tabs>
          <w:tab w:val="left" w:pos="360"/>
        </w:tabs>
        <w:spacing w:before="120"/>
        <w:ind w:left="900"/>
        <w:contextualSpacing w:val="0"/>
        <w:jc w:val="both"/>
        <w:rPr>
          <w:rFonts w:ascii="Arial" w:hAnsi="Arial" w:cs="Arial"/>
          <w:sz w:val="18"/>
          <w:szCs w:val="18"/>
          <w:lang w:val="en-GB"/>
        </w:rPr>
      </w:pPr>
      <w:r w:rsidRPr="00E80DCD">
        <w:rPr>
          <w:rFonts w:ascii="Arial" w:hAnsi="Arial" w:cs="Arial"/>
          <w:sz w:val="18"/>
          <w:szCs w:val="18"/>
          <w:lang w:val="en-GB"/>
        </w:rPr>
        <w:t xml:space="preserve">Partner shall comply fully with all applicable laws, rules and regulations, including those of the United States, the home jurisdiction of </w:t>
      </w:r>
      <w:r w:rsidR="00A55CA6">
        <w:rPr>
          <w:rFonts w:ascii="Arial" w:hAnsi="Arial" w:cs="Arial"/>
          <w:sz w:val="18"/>
          <w:szCs w:val="18"/>
          <w:lang w:val="en-GB"/>
        </w:rPr>
        <w:t>Tektronix</w:t>
      </w:r>
      <w:r w:rsidRPr="00E80DCD">
        <w:rPr>
          <w:rFonts w:ascii="Arial" w:hAnsi="Arial" w:cs="Arial"/>
          <w:sz w:val="18"/>
          <w:szCs w:val="18"/>
          <w:lang w:val="en-GB"/>
        </w:rPr>
        <w:t xml:space="preserve">, and </w:t>
      </w:r>
      <w:proofErr w:type="gramStart"/>
      <w:r w:rsidRPr="00E80DCD">
        <w:rPr>
          <w:rFonts w:ascii="Arial" w:hAnsi="Arial" w:cs="Arial"/>
          <w:sz w:val="18"/>
          <w:szCs w:val="18"/>
          <w:lang w:val="en-GB"/>
        </w:rPr>
        <w:t xml:space="preserve">any </w:t>
      </w:r>
      <w:r w:rsidR="00A01AEC" w:rsidRPr="00E80DCD">
        <w:rPr>
          <w:rFonts w:ascii="Arial" w:hAnsi="Arial" w:cs="Arial"/>
          <w:sz w:val="18"/>
          <w:szCs w:val="18"/>
          <w:lang w:val="en-GB"/>
        </w:rPr>
        <w:t xml:space="preserve">and </w:t>
      </w:r>
      <w:r w:rsidRPr="00E80DCD">
        <w:rPr>
          <w:rFonts w:ascii="Arial" w:hAnsi="Arial" w:cs="Arial"/>
          <w:sz w:val="18"/>
          <w:szCs w:val="18"/>
          <w:lang w:val="en-GB"/>
        </w:rPr>
        <w:t>all</w:t>
      </w:r>
      <w:proofErr w:type="gramEnd"/>
      <w:r w:rsidRPr="00E80DCD">
        <w:rPr>
          <w:rFonts w:ascii="Arial" w:hAnsi="Arial" w:cs="Arial"/>
          <w:sz w:val="18"/>
          <w:szCs w:val="18"/>
          <w:lang w:val="en-GB"/>
        </w:rPr>
        <w:t xml:space="preserve"> other jurisdictions globally, which apply to Partner’s business activities under this </w:t>
      </w:r>
      <w:r w:rsidR="00C836DC" w:rsidRPr="00E80DCD">
        <w:rPr>
          <w:rFonts w:ascii="Arial" w:hAnsi="Arial" w:cs="Arial"/>
          <w:sz w:val="18"/>
          <w:szCs w:val="18"/>
          <w:lang w:val="en-GB"/>
        </w:rPr>
        <w:t xml:space="preserve">Partner </w:t>
      </w:r>
      <w:r w:rsidRPr="00E80DCD">
        <w:rPr>
          <w:rFonts w:ascii="Arial" w:hAnsi="Arial" w:cs="Arial"/>
          <w:sz w:val="18"/>
          <w:szCs w:val="18"/>
          <w:lang w:val="en-GB"/>
        </w:rPr>
        <w:t>Agreement. Without limiting any provision in th</w:t>
      </w:r>
      <w:r w:rsidR="00C836DC" w:rsidRPr="00E80DCD">
        <w:rPr>
          <w:rFonts w:ascii="Arial" w:hAnsi="Arial" w:cs="Arial"/>
          <w:sz w:val="18"/>
          <w:szCs w:val="18"/>
          <w:lang w:val="en-GB"/>
        </w:rPr>
        <w:t>is Partner</w:t>
      </w:r>
      <w:r w:rsidRPr="00E80DCD">
        <w:rPr>
          <w:rFonts w:ascii="Arial" w:hAnsi="Arial" w:cs="Arial"/>
          <w:sz w:val="18"/>
          <w:szCs w:val="18"/>
          <w:lang w:val="en-GB"/>
        </w:rPr>
        <w:t xml:space="preserve"> Agreement, Partner specifically agrees to the following: </w:t>
      </w:r>
    </w:p>
    <w:p w14:paraId="28B22DEA" w14:textId="766D8203" w:rsidR="007A450E" w:rsidRPr="00E80DCD" w:rsidRDefault="007A450E" w:rsidP="00580465">
      <w:pPr>
        <w:pStyle w:val="ListParagraph"/>
        <w:numPr>
          <w:ilvl w:val="1"/>
          <w:numId w:val="12"/>
        </w:numPr>
        <w:tabs>
          <w:tab w:val="left" w:pos="0"/>
        </w:tabs>
        <w:spacing w:before="120"/>
        <w:ind w:left="900"/>
        <w:contextualSpacing w:val="0"/>
        <w:jc w:val="both"/>
        <w:rPr>
          <w:rFonts w:ascii="Arial" w:hAnsi="Arial" w:cs="Arial"/>
          <w:sz w:val="18"/>
          <w:szCs w:val="18"/>
        </w:rPr>
      </w:pPr>
      <w:r w:rsidRPr="00E80DCD">
        <w:rPr>
          <w:rFonts w:ascii="Arial" w:hAnsi="Arial" w:cs="Arial"/>
          <w:sz w:val="18"/>
          <w:szCs w:val="18"/>
        </w:rPr>
        <w:t xml:space="preserve">Partner represents and warrants to </w:t>
      </w:r>
      <w:r w:rsidR="00A55CA6">
        <w:rPr>
          <w:rFonts w:ascii="Arial" w:hAnsi="Arial" w:cs="Arial"/>
          <w:sz w:val="18"/>
          <w:szCs w:val="18"/>
        </w:rPr>
        <w:t>Tektronix</w:t>
      </w:r>
      <w:r w:rsidRPr="00E80DCD">
        <w:rPr>
          <w:rFonts w:ascii="Arial" w:hAnsi="Arial" w:cs="Arial"/>
          <w:sz w:val="18"/>
          <w:szCs w:val="18"/>
        </w:rPr>
        <w:t xml:space="preserve"> that Partner shall comply with all local, national, and other laws of all jurisdictions globally relating to anti-corruption, bribery, extortion, kickbacks, or similar matters which are applicable to Partner’s business activities in connection with this </w:t>
      </w:r>
      <w:r w:rsidR="00C836DC" w:rsidRPr="00E80DCD">
        <w:rPr>
          <w:rFonts w:ascii="Arial" w:hAnsi="Arial" w:cs="Arial"/>
          <w:sz w:val="18"/>
          <w:szCs w:val="18"/>
        </w:rPr>
        <w:t>Partner Agreement</w:t>
      </w:r>
      <w:r w:rsidRPr="00E80DCD">
        <w:rPr>
          <w:rFonts w:ascii="Arial" w:hAnsi="Arial" w:cs="Arial"/>
          <w:sz w:val="18"/>
          <w:szCs w:val="18"/>
        </w:rPr>
        <w:t xml:space="preserve">, and that Partner will take no action that will cause Partner or </w:t>
      </w:r>
      <w:r w:rsidR="00A55CA6">
        <w:rPr>
          <w:rFonts w:ascii="Arial" w:hAnsi="Arial" w:cs="Arial"/>
          <w:sz w:val="18"/>
          <w:szCs w:val="18"/>
        </w:rPr>
        <w:t>Tektronix</w:t>
      </w:r>
      <w:r w:rsidRPr="00E80DCD">
        <w:rPr>
          <w:rFonts w:ascii="Arial" w:hAnsi="Arial" w:cs="Arial"/>
          <w:sz w:val="18"/>
          <w:szCs w:val="18"/>
        </w:rPr>
        <w:t xml:space="preserve"> to violate any such laws.</w:t>
      </w:r>
    </w:p>
    <w:p w14:paraId="5F467275" w14:textId="2D1943BA" w:rsidR="00C3292E" w:rsidRPr="00E80DCD" w:rsidRDefault="00C3292E" w:rsidP="00580465">
      <w:pPr>
        <w:pStyle w:val="ListParagraph"/>
        <w:numPr>
          <w:ilvl w:val="1"/>
          <w:numId w:val="12"/>
        </w:numPr>
        <w:spacing w:before="120"/>
        <w:ind w:left="900"/>
        <w:contextualSpacing w:val="0"/>
        <w:jc w:val="both"/>
        <w:rPr>
          <w:rFonts w:ascii="Arial" w:hAnsi="Arial" w:cs="Arial"/>
          <w:sz w:val="18"/>
          <w:szCs w:val="18"/>
        </w:rPr>
      </w:pPr>
      <w:r w:rsidRPr="00E80DCD">
        <w:rPr>
          <w:rFonts w:ascii="Arial" w:hAnsi="Arial" w:cs="Arial"/>
          <w:sz w:val="18"/>
          <w:szCs w:val="18"/>
        </w:rPr>
        <w:t xml:space="preserve">Partner specifically represents and warrants to </w:t>
      </w:r>
      <w:r w:rsidR="00A55CA6">
        <w:rPr>
          <w:rFonts w:ascii="Arial" w:hAnsi="Arial" w:cs="Arial"/>
          <w:sz w:val="18"/>
          <w:szCs w:val="18"/>
        </w:rPr>
        <w:t>Tektronix</w:t>
      </w:r>
      <w:r w:rsidRPr="00E80DCD">
        <w:rPr>
          <w:rFonts w:ascii="Arial" w:hAnsi="Arial" w:cs="Arial"/>
          <w:sz w:val="18"/>
          <w:szCs w:val="18"/>
        </w:rPr>
        <w:t xml:space="preserve"> that Partner is familiar with the U.S. Foreign Corrupt Practices Act of 1977, as amended (“</w:t>
      </w:r>
      <w:r w:rsidRPr="00E80DCD">
        <w:rPr>
          <w:rFonts w:ascii="Arial" w:hAnsi="Arial" w:cs="Arial"/>
          <w:sz w:val="18"/>
          <w:szCs w:val="18"/>
          <w:u w:val="single"/>
        </w:rPr>
        <w:t>FCPA</w:t>
      </w:r>
      <w:r w:rsidRPr="00E80DCD">
        <w:rPr>
          <w:rFonts w:ascii="Arial" w:hAnsi="Arial" w:cs="Arial"/>
          <w:sz w:val="18"/>
          <w:szCs w:val="18"/>
        </w:rPr>
        <w:t xml:space="preserve">”), and the U.K. Bribery Act and that Partner shall comply with the FCPA and U.K. Bribery Act and will take no action that will cause Partner or </w:t>
      </w:r>
      <w:r w:rsidR="00A55CA6">
        <w:rPr>
          <w:rFonts w:ascii="Arial" w:hAnsi="Arial" w:cs="Arial"/>
          <w:sz w:val="18"/>
          <w:szCs w:val="18"/>
        </w:rPr>
        <w:t>Tektronix</w:t>
      </w:r>
      <w:r w:rsidRPr="00E80DCD">
        <w:rPr>
          <w:rFonts w:ascii="Arial" w:hAnsi="Arial" w:cs="Arial"/>
          <w:sz w:val="18"/>
          <w:szCs w:val="18"/>
        </w:rPr>
        <w:t xml:space="preserve"> to violate these laws. Partner also represents and warrants that it understands and will adhere to the Standards of Conduct of Fortive Corporation (</w:t>
      </w:r>
      <w:r w:rsidR="00A55CA6">
        <w:rPr>
          <w:rFonts w:ascii="Arial" w:hAnsi="Arial" w:cs="Arial"/>
          <w:sz w:val="18"/>
          <w:szCs w:val="18"/>
        </w:rPr>
        <w:t>Tektronix</w:t>
      </w:r>
      <w:r w:rsidRPr="00E80DCD">
        <w:rPr>
          <w:rFonts w:ascii="Arial" w:hAnsi="Arial" w:cs="Arial"/>
          <w:sz w:val="18"/>
          <w:szCs w:val="18"/>
        </w:rPr>
        <w:t>’</w:t>
      </w:r>
      <w:r w:rsidR="00377861">
        <w:rPr>
          <w:rFonts w:ascii="Arial" w:hAnsi="Arial" w:cs="Arial"/>
          <w:sz w:val="18"/>
          <w:szCs w:val="18"/>
        </w:rPr>
        <w:t>s</w:t>
      </w:r>
      <w:r w:rsidRPr="00E80DCD">
        <w:rPr>
          <w:rFonts w:ascii="Arial" w:hAnsi="Arial" w:cs="Arial"/>
          <w:sz w:val="18"/>
          <w:szCs w:val="18"/>
        </w:rPr>
        <w:t xml:space="preserve"> ultimate parent company or any successor in title thereof), published at</w:t>
      </w:r>
      <w:r w:rsidR="00B2770D" w:rsidRPr="00E80DCD">
        <w:rPr>
          <w:rFonts w:ascii="Arial" w:hAnsi="Arial" w:cs="Arial"/>
          <w:sz w:val="18"/>
          <w:szCs w:val="18"/>
        </w:rPr>
        <w:t xml:space="preserve"> </w:t>
      </w:r>
      <w:r w:rsidR="003A6348" w:rsidRPr="00E80DCD">
        <w:rPr>
          <w:rFonts w:ascii="Arial" w:hAnsi="Arial" w:cs="Arial"/>
          <w:sz w:val="18"/>
          <w:szCs w:val="18"/>
        </w:rPr>
        <w:t>https://investors.fortive.com/governance/governance-documents/#codeofconduct</w:t>
      </w:r>
      <w:r w:rsidRPr="00E80DCD">
        <w:rPr>
          <w:rFonts w:ascii="Arial" w:hAnsi="Arial" w:cs="Arial"/>
          <w:sz w:val="18"/>
          <w:szCs w:val="18"/>
        </w:rPr>
        <w:t xml:space="preserve">, when transacting its business.  </w:t>
      </w:r>
    </w:p>
    <w:p w14:paraId="2CA1D0D7" w14:textId="4E005876" w:rsidR="00C3292E" w:rsidRPr="00E80DCD" w:rsidRDefault="00C3292E" w:rsidP="00580465">
      <w:pPr>
        <w:pStyle w:val="ListParagraph"/>
        <w:numPr>
          <w:ilvl w:val="1"/>
          <w:numId w:val="12"/>
        </w:numPr>
        <w:tabs>
          <w:tab w:val="left" w:pos="392"/>
        </w:tabs>
        <w:spacing w:before="120"/>
        <w:ind w:left="900"/>
        <w:contextualSpacing w:val="0"/>
        <w:jc w:val="both"/>
        <w:rPr>
          <w:rFonts w:ascii="Arial" w:hAnsi="Arial" w:cs="Arial"/>
          <w:sz w:val="18"/>
          <w:szCs w:val="18"/>
        </w:rPr>
      </w:pPr>
      <w:r w:rsidRPr="00E80DCD">
        <w:rPr>
          <w:rFonts w:ascii="Arial" w:hAnsi="Arial" w:cs="Arial"/>
          <w:sz w:val="18"/>
          <w:szCs w:val="18"/>
        </w:rPr>
        <w:t xml:space="preserve">It is the intent of Partner and </w:t>
      </w:r>
      <w:r w:rsidR="00A55CA6">
        <w:rPr>
          <w:rFonts w:ascii="Arial" w:hAnsi="Arial" w:cs="Arial"/>
          <w:sz w:val="18"/>
          <w:szCs w:val="18"/>
        </w:rPr>
        <w:t>Tektronix</w:t>
      </w:r>
      <w:r w:rsidRPr="00E80DCD">
        <w:rPr>
          <w:rFonts w:ascii="Arial" w:hAnsi="Arial" w:cs="Arial"/>
          <w:sz w:val="18"/>
          <w:szCs w:val="18"/>
        </w:rPr>
        <w:t xml:space="preserve">, and Partner represents and warrants to </w:t>
      </w:r>
      <w:r w:rsidR="00A55CA6">
        <w:rPr>
          <w:rFonts w:ascii="Arial" w:hAnsi="Arial" w:cs="Arial"/>
          <w:sz w:val="18"/>
          <w:szCs w:val="18"/>
        </w:rPr>
        <w:t>Tektronix</w:t>
      </w:r>
      <w:r w:rsidRPr="00E80DCD">
        <w:rPr>
          <w:rFonts w:ascii="Arial" w:hAnsi="Arial" w:cs="Arial"/>
          <w:sz w:val="18"/>
          <w:szCs w:val="18"/>
        </w:rPr>
        <w:t xml:space="preserve">, that no payment of money or provision of anything of value will be offered, promised, paid or transferred, directly or indirectly, by any person or entity, to any government official, government employee, or employee of any company owned in part by a government, political party, political party official, or candidate for any government office or political party office to induce such organizations or persons to use their authority or influence to obtain or retain an improper business advantage for Partner or for </w:t>
      </w:r>
      <w:r w:rsidR="00A55CA6">
        <w:rPr>
          <w:rFonts w:ascii="Arial" w:hAnsi="Arial" w:cs="Arial"/>
          <w:sz w:val="18"/>
          <w:szCs w:val="18"/>
        </w:rPr>
        <w:t>Tektronix</w:t>
      </w:r>
      <w:r w:rsidRPr="00E80DCD">
        <w:rPr>
          <w:rFonts w:ascii="Arial" w:hAnsi="Arial" w:cs="Arial"/>
          <w:sz w:val="18"/>
          <w:szCs w:val="18"/>
        </w:rPr>
        <w:t>, or which otherwise constitute or have the purpose or effect of public or commercial bribery, acceptance of or acquiescence in extortion, kickbacks or other unlawful or improper means of obtaining business or any improper advantage, with respect to any of Partner’s activities related in any way to this Partner Agreement, including without limitation any payment of money or provision of anything of value to any employee of any customer in order to secure a sale.</w:t>
      </w:r>
    </w:p>
    <w:p w14:paraId="755E17D6" w14:textId="23AC9CF0" w:rsidR="2C40053D" w:rsidRPr="003D4858" w:rsidRDefault="00C3292E" w:rsidP="003D4858">
      <w:pPr>
        <w:pStyle w:val="ListParagraph"/>
        <w:numPr>
          <w:ilvl w:val="1"/>
          <w:numId w:val="12"/>
        </w:numPr>
        <w:spacing w:before="120"/>
        <w:ind w:left="900"/>
        <w:contextualSpacing w:val="0"/>
        <w:jc w:val="both"/>
        <w:rPr>
          <w:rFonts w:ascii="Arial" w:hAnsi="Arial" w:cs="Arial"/>
          <w:sz w:val="18"/>
          <w:szCs w:val="18"/>
        </w:rPr>
      </w:pPr>
      <w:r w:rsidRPr="00E80DCD">
        <w:rPr>
          <w:rFonts w:ascii="Arial" w:hAnsi="Arial" w:cs="Arial"/>
          <w:sz w:val="18"/>
          <w:szCs w:val="18"/>
        </w:rPr>
        <w:t xml:space="preserve">Partner agrees that should it learn or have reason to know of any offer, promise, payment or transfer of money or provision of anything of value that would violate the FCPA, the U.K. Bribery Act, Fortive Corporation’s Standards of Conduct or the anti-corruption and anti-bribery laws which apply to Partner’s business activities in connection with this Partner Agreement, Partner shall immediately disclose it to </w:t>
      </w:r>
      <w:r w:rsidR="00A55CA6">
        <w:rPr>
          <w:rFonts w:ascii="Arial" w:hAnsi="Arial" w:cs="Arial"/>
          <w:sz w:val="18"/>
          <w:szCs w:val="18"/>
        </w:rPr>
        <w:t>Tektronix</w:t>
      </w:r>
      <w:r w:rsidRPr="00E80DCD">
        <w:rPr>
          <w:rFonts w:ascii="Arial" w:hAnsi="Arial" w:cs="Arial"/>
          <w:sz w:val="18"/>
          <w:szCs w:val="18"/>
        </w:rPr>
        <w:t>.</w:t>
      </w:r>
    </w:p>
    <w:p w14:paraId="5AE3C768" w14:textId="5DAFBF84" w:rsidR="00C3292E" w:rsidRPr="00E80DCD" w:rsidRDefault="00C3292E" w:rsidP="00580465">
      <w:pPr>
        <w:pStyle w:val="ListParagraph"/>
        <w:numPr>
          <w:ilvl w:val="1"/>
          <w:numId w:val="12"/>
        </w:numPr>
        <w:spacing w:before="120"/>
        <w:ind w:left="900"/>
        <w:contextualSpacing w:val="0"/>
        <w:jc w:val="both"/>
        <w:rPr>
          <w:rFonts w:ascii="Arial" w:hAnsi="Arial" w:cs="Arial"/>
          <w:sz w:val="18"/>
          <w:szCs w:val="18"/>
        </w:rPr>
      </w:pPr>
      <w:r w:rsidRPr="00E80DCD">
        <w:rPr>
          <w:rFonts w:ascii="Arial" w:hAnsi="Arial" w:cs="Arial"/>
          <w:sz w:val="18"/>
          <w:szCs w:val="18"/>
        </w:rPr>
        <w:t xml:space="preserve">Partner shall provide annual certification of compliance with the FCPA, the U.K. Bribery Act, export control laws and regulations and all other laws applicable to Partner’s activities related to this Partner Agreement in the form provided from time to time by </w:t>
      </w:r>
      <w:r w:rsidR="00A55CA6">
        <w:rPr>
          <w:rFonts w:ascii="Arial" w:hAnsi="Arial" w:cs="Arial"/>
          <w:sz w:val="18"/>
          <w:szCs w:val="18"/>
        </w:rPr>
        <w:t>Tektronix</w:t>
      </w:r>
      <w:r w:rsidRPr="00E80DCD">
        <w:rPr>
          <w:rFonts w:ascii="Arial" w:hAnsi="Arial" w:cs="Arial"/>
          <w:sz w:val="18"/>
          <w:szCs w:val="18"/>
        </w:rPr>
        <w:t xml:space="preserve">.  </w:t>
      </w:r>
      <w:proofErr w:type="gramStart"/>
      <w:r w:rsidRPr="00E80DCD">
        <w:rPr>
          <w:rFonts w:ascii="Arial" w:hAnsi="Arial" w:cs="Arial"/>
          <w:sz w:val="18"/>
          <w:szCs w:val="18"/>
        </w:rPr>
        <w:t>Partner</w:t>
      </w:r>
      <w:proofErr w:type="gramEnd"/>
      <w:r w:rsidRPr="00E80DCD">
        <w:rPr>
          <w:rFonts w:ascii="Arial" w:hAnsi="Arial" w:cs="Arial"/>
          <w:sz w:val="18"/>
          <w:szCs w:val="18"/>
        </w:rPr>
        <w:t xml:space="preserve"> shall participate in anti-corruption/anti-bribery training offered by </w:t>
      </w:r>
      <w:r w:rsidR="00A55CA6">
        <w:rPr>
          <w:rFonts w:ascii="Arial" w:hAnsi="Arial" w:cs="Arial"/>
          <w:sz w:val="18"/>
          <w:szCs w:val="18"/>
        </w:rPr>
        <w:t>Tektronix</w:t>
      </w:r>
      <w:r w:rsidRPr="00E80DCD">
        <w:rPr>
          <w:rFonts w:ascii="Arial" w:hAnsi="Arial" w:cs="Arial"/>
          <w:sz w:val="18"/>
          <w:szCs w:val="18"/>
        </w:rPr>
        <w:t xml:space="preserve"> as </w:t>
      </w:r>
      <w:r w:rsidR="00A55CA6">
        <w:rPr>
          <w:rFonts w:ascii="Arial" w:hAnsi="Arial" w:cs="Arial"/>
          <w:sz w:val="18"/>
          <w:szCs w:val="18"/>
        </w:rPr>
        <w:t>Tektronix</w:t>
      </w:r>
      <w:r w:rsidRPr="00E80DCD">
        <w:rPr>
          <w:rFonts w:ascii="Arial" w:hAnsi="Arial" w:cs="Arial"/>
          <w:sz w:val="18"/>
          <w:szCs w:val="18"/>
        </w:rPr>
        <w:t xml:space="preserve"> may direct from time to time.  </w:t>
      </w:r>
    </w:p>
    <w:p w14:paraId="6F65C57B" w14:textId="2083B38C" w:rsidR="00C3292E" w:rsidRPr="00E80DCD" w:rsidRDefault="00A55CA6" w:rsidP="00580465">
      <w:pPr>
        <w:pStyle w:val="ListParagraph"/>
        <w:numPr>
          <w:ilvl w:val="1"/>
          <w:numId w:val="12"/>
        </w:numPr>
        <w:spacing w:before="120"/>
        <w:ind w:left="900"/>
        <w:contextualSpacing w:val="0"/>
        <w:jc w:val="both"/>
        <w:rPr>
          <w:rFonts w:ascii="Arial" w:hAnsi="Arial" w:cs="Arial"/>
          <w:sz w:val="18"/>
          <w:szCs w:val="18"/>
        </w:rPr>
      </w:pPr>
      <w:r>
        <w:rPr>
          <w:rFonts w:ascii="Arial" w:hAnsi="Arial" w:cs="Arial"/>
          <w:sz w:val="18"/>
          <w:szCs w:val="18"/>
        </w:rPr>
        <w:t>Tektronix</w:t>
      </w:r>
      <w:r w:rsidR="00C3292E" w:rsidRPr="00E80DCD">
        <w:rPr>
          <w:rFonts w:ascii="Arial" w:hAnsi="Arial" w:cs="Arial"/>
          <w:sz w:val="18"/>
          <w:szCs w:val="18"/>
        </w:rPr>
        <w:t xml:space="preserve"> shall have reasonable access to Partner’s books and records and the right to audit them on a periodic basis to ensure Partner’s compliance with all applicable laws and the provisions of this Partner Agreement. Partner shall cooperate fully and promptly with any compliance investigation </w:t>
      </w:r>
      <w:r>
        <w:rPr>
          <w:rFonts w:ascii="Arial" w:hAnsi="Arial" w:cs="Arial"/>
          <w:sz w:val="18"/>
          <w:szCs w:val="18"/>
        </w:rPr>
        <w:t>Tektronix</w:t>
      </w:r>
      <w:r w:rsidR="00C3292E" w:rsidRPr="00E80DCD">
        <w:rPr>
          <w:rFonts w:ascii="Arial" w:hAnsi="Arial" w:cs="Arial"/>
          <w:sz w:val="18"/>
          <w:szCs w:val="18"/>
        </w:rPr>
        <w:t xml:space="preserve"> may initiate to review Partner’s performance under th</w:t>
      </w:r>
      <w:r w:rsidR="59DE5FE7" w:rsidRPr="00E80DCD">
        <w:rPr>
          <w:rFonts w:ascii="Arial" w:hAnsi="Arial" w:cs="Arial"/>
          <w:sz w:val="18"/>
          <w:szCs w:val="18"/>
        </w:rPr>
        <w:t>is Section</w:t>
      </w:r>
      <w:r w:rsidR="00C3292E" w:rsidRPr="00E80DCD">
        <w:rPr>
          <w:rFonts w:ascii="Arial" w:hAnsi="Arial" w:cs="Arial"/>
          <w:sz w:val="18"/>
          <w:szCs w:val="18"/>
        </w:rPr>
        <w:t>.</w:t>
      </w:r>
    </w:p>
    <w:p w14:paraId="2E5604AF" w14:textId="74FFB832" w:rsidR="00C3292E" w:rsidRPr="00E80DCD" w:rsidRDefault="00A55CA6" w:rsidP="00580465">
      <w:pPr>
        <w:pStyle w:val="ListParagraph"/>
        <w:numPr>
          <w:ilvl w:val="1"/>
          <w:numId w:val="12"/>
        </w:numPr>
        <w:spacing w:before="120"/>
        <w:ind w:left="900"/>
        <w:contextualSpacing w:val="0"/>
        <w:jc w:val="both"/>
        <w:rPr>
          <w:rFonts w:ascii="Arial" w:hAnsi="Arial" w:cs="Arial"/>
          <w:sz w:val="18"/>
          <w:szCs w:val="18"/>
        </w:rPr>
      </w:pPr>
      <w:r>
        <w:rPr>
          <w:rFonts w:ascii="Arial" w:hAnsi="Arial" w:cs="Arial"/>
          <w:sz w:val="18"/>
          <w:szCs w:val="18"/>
        </w:rPr>
        <w:t>Tektronix</w:t>
      </w:r>
      <w:r w:rsidR="00C3292E" w:rsidRPr="00E80DCD">
        <w:rPr>
          <w:rFonts w:ascii="Arial" w:hAnsi="Arial" w:cs="Arial"/>
          <w:sz w:val="18"/>
          <w:szCs w:val="18"/>
        </w:rPr>
        <w:t xml:space="preserve"> may withhold payments under this Partner Agreement, suspend or cancel orders, reduce discounts applicable to Partner or terminate this Partner Agreement immediately if it believes, in its sole but reasonable judgment, that Partner has breached the foregoing Compliance with Laws provisions of this Partner Agreement or caused </w:t>
      </w:r>
      <w:r>
        <w:rPr>
          <w:rFonts w:ascii="Arial" w:hAnsi="Arial" w:cs="Arial"/>
          <w:sz w:val="18"/>
          <w:szCs w:val="18"/>
        </w:rPr>
        <w:t>Tektronix</w:t>
      </w:r>
      <w:r w:rsidR="00C3292E" w:rsidRPr="00E80DCD">
        <w:rPr>
          <w:rFonts w:ascii="Arial" w:hAnsi="Arial" w:cs="Arial"/>
          <w:sz w:val="18"/>
          <w:szCs w:val="18"/>
        </w:rPr>
        <w:t xml:space="preserve"> to violate the FCPA, U.K. Bribery Act, Fortive Corporation’s Standards of Conduct or other applicable laws.  </w:t>
      </w:r>
      <w:r>
        <w:rPr>
          <w:rFonts w:ascii="Arial" w:hAnsi="Arial" w:cs="Arial"/>
          <w:sz w:val="18"/>
          <w:szCs w:val="18"/>
        </w:rPr>
        <w:t>Tektronix</w:t>
      </w:r>
      <w:r w:rsidR="00C3292E" w:rsidRPr="00E80DCD">
        <w:rPr>
          <w:rFonts w:ascii="Arial" w:hAnsi="Arial" w:cs="Arial"/>
          <w:sz w:val="18"/>
          <w:szCs w:val="18"/>
        </w:rPr>
        <w:t xml:space="preserve"> shall not be liable to Partner for any claim, losses, or damages related to </w:t>
      </w:r>
      <w:r>
        <w:rPr>
          <w:rFonts w:ascii="Arial" w:hAnsi="Arial" w:cs="Arial"/>
          <w:sz w:val="18"/>
          <w:szCs w:val="18"/>
        </w:rPr>
        <w:t>Tektronix</w:t>
      </w:r>
      <w:r w:rsidR="00C3292E" w:rsidRPr="00E80DCD">
        <w:rPr>
          <w:rFonts w:ascii="Arial" w:hAnsi="Arial" w:cs="Arial"/>
          <w:sz w:val="18"/>
          <w:szCs w:val="18"/>
        </w:rPr>
        <w:t>’</w:t>
      </w:r>
      <w:r w:rsidR="00377861">
        <w:rPr>
          <w:rFonts w:ascii="Arial" w:hAnsi="Arial" w:cs="Arial"/>
          <w:sz w:val="18"/>
          <w:szCs w:val="18"/>
        </w:rPr>
        <w:t>s</w:t>
      </w:r>
      <w:r w:rsidR="00C3292E" w:rsidRPr="00E80DCD">
        <w:rPr>
          <w:rFonts w:ascii="Arial" w:hAnsi="Arial" w:cs="Arial"/>
          <w:sz w:val="18"/>
          <w:szCs w:val="18"/>
        </w:rPr>
        <w:t xml:space="preserve"> decision to exercise its rights under this provision.  </w:t>
      </w:r>
    </w:p>
    <w:p w14:paraId="34FE70F0" w14:textId="114A3DA5" w:rsidR="00C3292E" w:rsidRPr="00E80DCD" w:rsidRDefault="00C3292E" w:rsidP="00580465">
      <w:pPr>
        <w:pStyle w:val="ListParagraph"/>
        <w:numPr>
          <w:ilvl w:val="1"/>
          <w:numId w:val="12"/>
        </w:numPr>
        <w:spacing w:before="120"/>
        <w:ind w:left="900"/>
        <w:contextualSpacing w:val="0"/>
        <w:jc w:val="both"/>
        <w:rPr>
          <w:rFonts w:ascii="Arial" w:hAnsi="Arial" w:cs="Arial"/>
          <w:sz w:val="18"/>
          <w:szCs w:val="18"/>
        </w:rPr>
      </w:pPr>
      <w:r w:rsidRPr="00E80DCD">
        <w:rPr>
          <w:rFonts w:ascii="Arial" w:hAnsi="Arial" w:cs="Arial"/>
          <w:sz w:val="18"/>
          <w:szCs w:val="18"/>
        </w:rPr>
        <w:t xml:space="preserve">Partner shall defend, indemnify and hold harmless </w:t>
      </w:r>
      <w:r w:rsidR="00A55CA6">
        <w:rPr>
          <w:rFonts w:ascii="Arial" w:hAnsi="Arial" w:cs="Arial"/>
          <w:sz w:val="18"/>
          <w:szCs w:val="18"/>
        </w:rPr>
        <w:t>Tektronix</w:t>
      </w:r>
      <w:r w:rsidRPr="00E80DCD">
        <w:rPr>
          <w:rFonts w:ascii="Arial" w:hAnsi="Arial" w:cs="Arial"/>
          <w:sz w:val="18"/>
          <w:szCs w:val="18"/>
        </w:rPr>
        <w:t xml:space="preserve"> for </w:t>
      </w:r>
      <w:proofErr w:type="gramStart"/>
      <w:r w:rsidRPr="00E80DCD">
        <w:rPr>
          <w:rFonts w:ascii="Arial" w:hAnsi="Arial" w:cs="Arial"/>
          <w:sz w:val="18"/>
          <w:szCs w:val="18"/>
        </w:rPr>
        <w:t>any and all</w:t>
      </w:r>
      <w:proofErr w:type="gramEnd"/>
      <w:r w:rsidRPr="00E80DCD">
        <w:rPr>
          <w:rFonts w:ascii="Arial" w:hAnsi="Arial" w:cs="Arial"/>
          <w:sz w:val="18"/>
          <w:szCs w:val="18"/>
        </w:rPr>
        <w:t xml:space="preserve"> costs, fees, fines or damages caused by Partner’s (including any sub-resellers of Partner) acts or omissions, regardless of legal theory, which violate any jurisdiction’s anti-corruption or anti-bribery laws, rules or regulations.</w:t>
      </w:r>
    </w:p>
    <w:p w14:paraId="42C5873C" w14:textId="39C24427" w:rsidR="00C3292E" w:rsidRPr="00E80DCD" w:rsidRDefault="00C3292E" w:rsidP="00580465">
      <w:pPr>
        <w:pStyle w:val="ListParagraph"/>
        <w:numPr>
          <w:ilvl w:val="1"/>
          <w:numId w:val="12"/>
        </w:numPr>
        <w:spacing w:before="120"/>
        <w:ind w:left="900"/>
        <w:contextualSpacing w:val="0"/>
        <w:jc w:val="both"/>
        <w:rPr>
          <w:rFonts w:ascii="Arial" w:hAnsi="Arial" w:cs="Arial"/>
          <w:sz w:val="18"/>
          <w:szCs w:val="18"/>
        </w:rPr>
      </w:pPr>
      <w:r w:rsidRPr="00E80DCD">
        <w:rPr>
          <w:rFonts w:ascii="Arial" w:hAnsi="Arial" w:cs="Arial"/>
          <w:sz w:val="18"/>
          <w:szCs w:val="18"/>
        </w:rPr>
        <w:t xml:space="preserve">Partner acknowledges that one or more jurisdiction may now, or </w:t>
      </w:r>
      <w:proofErr w:type="gramStart"/>
      <w:r w:rsidRPr="00E80DCD">
        <w:rPr>
          <w:rFonts w:ascii="Arial" w:hAnsi="Arial" w:cs="Arial"/>
          <w:sz w:val="18"/>
          <w:szCs w:val="18"/>
        </w:rPr>
        <w:t>at a later date</w:t>
      </w:r>
      <w:proofErr w:type="gramEnd"/>
      <w:r w:rsidRPr="00E80DCD">
        <w:rPr>
          <w:rFonts w:ascii="Arial" w:hAnsi="Arial" w:cs="Arial"/>
          <w:sz w:val="18"/>
          <w:szCs w:val="18"/>
        </w:rPr>
        <w:t>, require this section or any annual certification to be altered to address the dynamic nature of anti-corruption or anti-bribery compliance.  Any changes necessarily required to comply with such developments shall be timely communicated to Partner in writing, whether in a regional/territorial supplement or otherwise, and become a part of this Partner Agreement.</w:t>
      </w:r>
    </w:p>
    <w:p w14:paraId="0BA0CBF1" w14:textId="2BB77191" w:rsidR="003D53B4" w:rsidRPr="00E80DCD" w:rsidRDefault="003D53B4" w:rsidP="00580465">
      <w:pPr>
        <w:pStyle w:val="ListParagraph"/>
        <w:spacing w:before="120"/>
        <w:ind w:left="540"/>
        <w:contextualSpacing w:val="0"/>
        <w:jc w:val="both"/>
        <w:rPr>
          <w:rFonts w:ascii="Arial" w:hAnsi="Arial" w:cs="Arial"/>
          <w:sz w:val="18"/>
          <w:szCs w:val="18"/>
        </w:rPr>
      </w:pPr>
      <w:r w:rsidRPr="00E80DCD">
        <w:rPr>
          <w:rFonts w:ascii="Arial" w:hAnsi="Arial" w:cs="Arial"/>
          <w:sz w:val="18"/>
          <w:szCs w:val="18"/>
        </w:rPr>
        <w:t>The following subsections (</w:t>
      </w:r>
      <w:r w:rsidR="008B5764" w:rsidRPr="00E80DCD">
        <w:rPr>
          <w:rFonts w:ascii="Arial" w:hAnsi="Arial" w:cs="Arial"/>
          <w:sz w:val="18"/>
          <w:szCs w:val="18"/>
        </w:rPr>
        <w:t>k</w:t>
      </w:r>
      <w:r w:rsidRPr="00E80DCD">
        <w:rPr>
          <w:rFonts w:ascii="Arial" w:hAnsi="Arial" w:cs="Arial"/>
          <w:sz w:val="18"/>
          <w:szCs w:val="18"/>
        </w:rPr>
        <w:t xml:space="preserve">) trough (n) only </w:t>
      </w:r>
      <w:proofErr w:type="gramStart"/>
      <w:r w:rsidRPr="00E80DCD">
        <w:rPr>
          <w:rFonts w:ascii="Arial" w:hAnsi="Arial" w:cs="Arial"/>
          <w:sz w:val="18"/>
          <w:szCs w:val="18"/>
        </w:rPr>
        <w:t>apply</w:t>
      </w:r>
      <w:proofErr w:type="gramEnd"/>
      <w:r w:rsidRPr="00E80DCD">
        <w:rPr>
          <w:rFonts w:ascii="Arial" w:hAnsi="Arial" w:cs="Arial"/>
          <w:sz w:val="18"/>
          <w:szCs w:val="18"/>
        </w:rPr>
        <w:t xml:space="preserve"> to </w:t>
      </w:r>
      <w:r w:rsidR="00B00625" w:rsidRPr="00E80DCD">
        <w:rPr>
          <w:rFonts w:ascii="Arial" w:hAnsi="Arial" w:cs="Arial"/>
          <w:sz w:val="18"/>
          <w:szCs w:val="18"/>
        </w:rPr>
        <w:t>Partner(s) whose Area of Authorization includes the United States</w:t>
      </w:r>
      <w:r w:rsidR="6E61709E" w:rsidRPr="00E80DCD">
        <w:rPr>
          <w:rFonts w:ascii="Arial" w:hAnsi="Arial" w:cs="Arial"/>
          <w:sz w:val="18"/>
          <w:szCs w:val="18"/>
        </w:rPr>
        <w:t xml:space="preserve"> (in addition to the foregoing)</w:t>
      </w:r>
      <w:r w:rsidR="00B00625" w:rsidRPr="00E80DCD">
        <w:rPr>
          <w:rFonts w:ascii="Arial" w:hAnsi="Arial" w:cs="Arial"/>
          <w:sz w:val="18"/>
          <w:szCs w:val="18"/>
        </w:rPr>
        <w:t>.</w:t>
      </w:r>
      <w:r w:rsidRPr="00E80DCD">
        <w:rPr>
          <w:rFonts w:ascii="Arial" w:hAnsi="Arial" w:cs="Arial"/>
          <w:sz w:val="18"/>
          <w:szCs w:val="18"/>
        </w:rPr>
        <w:t xml:space="preserve"> </w:t>
      </w:r>
    </w:p>
    <w:p w14:paraId="4AF89913" w14:textId="3CEA6FD1" w:rsidR="004D1CE1" w:rsidRPr="00E80DCD" w:rsidRDefault="004D1CE1" w:rsidP="00580465">
      <w:pPr>
        <w:pStyle w:val="ListParagraph"/>
        <w:numPr>
          <w:ilvl w:val="1"/>
          <w:numId w:val="12"/>
        </w:numPr>
        <w:tabs>
          <w:tab w:val="left" w:pos="360"/>
        </w:tabs>
        <w:spacing w:before="120"/>
        <w:ind w:left="900"/>
        <w:contextualSpacing w:val="0"/>
        <w:jc w:val="both"/>
        <w:rPr>
          <w:rFonts w:ascii="Arial" w:hAnsi="Arial" w:cs="Arial"/>
          <w:sz w:val="18"/>
          <w:szCs w:val="18"/>
        </w:rPr>
      </w:pPr>
      <w:r w:rsidRPr="00E80DCD">
        <w:rPr>
          <w:rFonts w:ascii="Arial" w:hAnsi="Arial" w:cs="Arial"/>
          <w:sz w:val="18"/>
          <w:szCs w:val="18"/>
        </w:rPr>
        <w:t xml:space="preserve">Partner certifies that neither they nor any of their principals are presently debarred, suspended, proposed for debarment, or declared ineligible for the award of contracts by the U.S. </w:t>
      </w:r>
      <w:r w:rsidR="00AE1D7E" w:rsidRPr="00E80DCD">
        <w:rPr>
          <w:rFonts w:ascii="Arial" w:hAnsi="Arial" w:cs="Arial"/>
          <w:sz w:val="18"/>
          <w:szCs w:val="18"/>
        </w:rPr>
        <w:t>government. (</w:t>
      </w:r>
      <w:r w:rsidR="00AA3206" w:rsidRPr="00E80DCD">
        <w:rPr>
          <w:rFonts w:ascii="Arial" w:hAnsi="Arial" w:cs="Arial"/>
          <w:sz w:val="18"/>
          <w:szCs w:val="18"/>
        </w:rPr>
        <w:t xml:space="preserve">k) </w:t>
      </w:r>
      <w:r w:rsidRPr="00E80DCD">
        <w:rPr>
          <w:rFonts w:ascii="Arial" w:hAnsi="Arial" w:cs="Arial"/>
          <w:sz w:val="18"/>
          <w:szCs w:val="18"/>
        </w:rPr>
        <w:t xml:space="preserve">Partner shall </w:t>
      </w:r>
      <w:r w:rsidRPr="00E80DCD">
        <w:rPr>
          <w:rFonts w:ascii="Arial" w:hAnsi="Arial" w:cs="Arial"/>
          <w:sz w:val="18"/>
          <w:szCs w:val="18"/>
        </w:rPr>
        <w:lastRenderedPageBreak/>
        <w:t xml:space="preserve">comply with all applicable laws, regulations, and executive orders concerning nondiscrimination in employment. The following are incorporated herein by reference, as applicable: (i) Executive Order 11246, as amended; (ii) Executive Order 13496 (and its implementing regulations at 29 C.F.R. Part 471); (iii) 41 C.F.R. Part 60-1.4(a); (iv) 29 C.F.R Part 471, Appendix A to Subpart; (v) 41 C.F.R. 60-300.5(a); and (vi) 41 C.F.R. 60-741.5(a). </w:t>
      </w:r>
    </w:p>
    <w:p w14:paraId="53599F94" w14:textId="66A65F8C" w:rsidR="004D1CE1" w:rsidRPr="00E80DCD" w:rsidRDefault="004D1CE1" w:rsidP="00580465">
      <w:pPr>
        <w:pStyle w:val="ListParagraph"/>
        <w:numPr>
          <w:ilvl w:val="1"/>
          <w:numId w:val="12"/>
        </w:numPr>
        <w:tabs>
          <w:tab w:val="left" w:pos="360"/>
        </w:tabs>
        <w:spacing w:before="120"/>
        <w:ind w:left="900"/>
        <w:contextualSpacing w:val="0"/>
        <w:jc w:val="both"/>
        <w:rPr>
          <w:rFonts w:ascii="Arial" w:hAnsi="Arial" w:cs="Arial"/>
          <w:sz w:val="18"/>
          <w:szCs w:val="18"/>
        </w:rPr>
      </w:pPr>
      <w:r w:rsidRPr="00E80DCD">
        <w:rPr>
          <w:rFonts w:ascii="Arial" w:hAnsi="Arial" w:cs="Arial"/>
          <w:sz w:val="18"/>
          <w:szCs w:val="18"/>
        </w:rPr>
        <w:t>Partner shall abide by the requirements of 41 C.F.R 60-300.5(a). This regulation prohibits discrimination against qualified protected veterans and requires affirmative action by covered prime contractors and subcontractors to employ and advance in employment qualified protected veterans.</w:t>
      </w:r>
    </w:p>
    <w:p w14:paraId="6A37A4FB" w14:textId="659890A5" w:rsidR="004D1CE1" w:rsidRPr="00E80DCD" w:rsidRDefault="004D1CE1" w:rsidP="00580465">
      <w:pPr>
        <w:pStyle w:val="ListParagraph"/>
        <w:numPr>
          <w:ilvl w:val="1"/>
          <w:numId w:val="12"/>
        </w:numPr>
        <w:tabs>
          <w:tab w:val="left" w:pos="360"/>
        </w:tabs>
        <w:spacing w:before="120"/>
        <w:ind w:left="900"/>
        <w:contextualSpacing w:val="0"/>
        <w:jc w:val="both"/>
        <w:rPr>
          <w:rFonts w:ascii="Arial" w:hAnsi="Arial" w:cs="Arial"/>
          <w:sz w:val="18"/>
          <w:szCs w:val="18"/>
        </w:rPr>
      </w:pPr>
      <w:r w:rsidRPr="00E80DCD">
        <w:rPr>
          <w:rFonts w:ascii="Arial" w:hAnsi="Arial" w:cs="Arial"/>
          <w:sz w:val="18"/>
          <w:szCs w:val="18"/>
        </w:rPr>
        <w:t xml:space="preserve">Partner shall abide by the requirements of 41 C.F.R 60-741.5(a). This regulation prohibits discrimination against qualified individuals </w:t>
      </w:r>
      <w:proofErr w:type="gramStart"/>
      <w:r w:rsidRPr="00E80DCD">
        <w:rPr>
          <w:rFonts w:ascii="Arial" w:hAnsi="Arial" w:cs="Arial"/>
          <w:sz w:val="18"/>
          <w:szCs w:val="18"/>
        </w:rPr>
        <w:t>on the basis of</w:t>
      </w:r>
      <w:proofErr w:type="gramEnd"/>
      <w:r w:rsidRPr="00E80DCD">
        <w:rPr>
          <w:rFonts w:ascii="Arial" w:hAnsi="Arial" w:cs="Arial"/>
          <w:sz w:val="18"/>
          <w:szCs w:val="18"/>
        </w:rPr>
        <w:t xml:space="preserve"> disability and requires affirmative action by covered prime contractors and subcontractors to employ and advance in employment qualified individuals with disabilities.</w:t>
      </w:r>
    </w:p>
    <w:p w14:paraId="553198E7" w14:textId="057B626B" w:rsidR="004D1CE1" w:rsidRDefault="004D1CE1" w:rsidP="00580465">
      <w:pPr>
        <w:pStyle w:val="ListParagraph"/>
        <w:numPr>
          <w:ilvl w:val="1"/>
          <w:numId w:val="12"/>
        </w:numPr>
        <w:tabs>
          <w:tab w:val="left" w:pos="360"/>
        </w:tabs>
        <w:spacing w:before="120"/>
        <w:ind w:left="900"/>
        <w:contextualSpacing w:val="0"/>
        <w:rPr>
          <w:rFonts w:ascii="Arial" w:hAnsi="Arial" w:cs="Arial"/>
          <w:sz w:val="18"/>
          <w:szCs w:val="18"/>
        </w:rPr>
      </w:pPr>
      <w:r w:rsidRPr="00E80DCD">
        <w:rPr>
          <w:rFonts w:ascii="Arial" w:hAnsi="Arial" w:cs="Arial"/>
          <w:sz w:val="18"/>
          <w:szCs w:val="18"/>
        </w:rPr>
        <w:t xml:space="preserve">Partner represents and warrants that (i) they have not been designated as a "specifically designated national and blocked person" on the most current list published by the Office of Foreign Asset Control of the U.S. Department of the Treasury (“OFAC”) (the "List"); (ii) they are currently in compliance with and will at all times during the term of this Agreement remain in compliance with the regulations of OFAC and any statute, executive order (including Executive Order 13224 - Blocking Property and Prohibiting Transactions with Persons Who Commit, Threaten to Commit, or Support Terrorism), or other governmental action relating thereto; (iii) they will not transfer or permit the transfer of any controlling interest in their business to any person or entity who is, or any of whose beneficial owners are, listed on the List; and (iv) to the best of </w:t>
      </w:r>
      <w:r w:rsidR="00A55CA6">
        <w:rPr>
          <w:rFonts w:ascii="Arial" w:hAnsi="Arial" w:cs="Arial"/>
          <w:sz w:val="18"/>
          <w:szCs w:val="18"/>
        </w:rPr>
        <w:t>Tektronix</w:t>
      </w:r>
      <w:r w:rsidRPr="00E80DCD">
        <w:rPr>
          <w:rFonts w:ascii="Arial" w:hAnsi="Arial" w:cs="Arial"/>
          <w:sz w:val="18"/>
          <w:szCs w:val="18"/>
        </w:rPr>
        <w:t xml:space="preserve">’s knowledge, the preceding representations in (i), (ii), and (iii) are true for all sub-suppliers, vendors, and subcontractors on whose products or services </w:t>
      </w:r>
      <w:r w:rsidR="00A55CA6">
        <w:rPr>
          <w:rFonts w:ascii="Arial" w:hAnsi="Arial" w:cs="Arial"/>
          <w:sz w:val="18"/>
          <w:szCs w:val="18"/>
        </w:rPr>
        <w:t>Tektronix</w:t>
      </w:r>
      <w:r w:rsidRPr="00E80DCD">
        <w:rPr>
          <w:rFonts w:ascii="Arial" w:hAnsi="Arial" w:cs="Arial"/>
          <w:sz w:val="18"/>
          <w:szCs w:val="18"/>
        </w:rPr>
        <w:t xml:space="preserve"> will rely for any part of </w:t>
      </w:r>
      <w:r w:rsidR="00A55CA6">
        <w:rPr>
          <w:rFonts w:ascii="Arial" w:hAnsi="Arial" w:cs="Arial"/>
          <w:sz w:val="18"/>
          <w:szCs w:val="18"/>
        </w:rPr>
        <w:t>Tektronix</w:t>
      </w:r>
      <w:r w:rsidRPr="00E80DCD">
        <w:rPr>
          <w:rFonts w:ascii="Arial" w:hAnsi="Arial" w:cs="Arial"/>
          <w:sz w:val="18"/>
          <w:szCs w:val="18"/>
        </w:rPr>
        <w:t>’s performance under this Agreement.</w:t>
      </w:r>
    </w:p>
    <w:p w14:paraId="668B4F37" w14:textId="5FDEFC9E" w:rsidR="00AE279B" w:rsidRPr="00CA4020" w:rsidRDefault="00F0621D" w:rsidP="00580465">
      <w:pPr>
        <w:pStyle w:val="ListParagraph"/>
        <w:numPr>
          <w:ilvl w:val="1"/>
          <w:numId w:val="12"/>
        </w:numPr>
        <w:tabs>
          <w:tab w:val="left" w:pos="360"/>
        </w:tabs>
        <w:spacing w:before="120"/>
        <w:ind w:left="900"/>
        <w:contextualSpacing w:val="0"/>
        <w:rPr>
          <w:rFonts w:ascii="Arial" w:hAnsi="Arial" w:cs="Arial"/>
          <w:sz w:val="18"/>
          <w:szCs w:val="18"/>
        </w:rPr>
      </w:pPr>
      <w:r w:rsidRPr="00CA4020">
        <w:rPr>
          <w:rFonts w:ascii="Arial" w:hAnsi="Arial" w:cs="Times New Roman"/>
          <w:sz w:val="18"/>
          <w:szCs w:val="18"/>
          <w:lang w:eastAsia="en-US"/>
        </w:rPr>
        <w:t xml:space="preserve">The Federal Acquisition Regulation (“FAR”) and Defense Federal Acquisition Regulation Supplement (“DFARs”) clauses set forth in </w:t>
      </w:r>
      <w:r w:rsidRPr="00CA4020">
        <w:rPr>
          <w:rFonts w:ascii="Arial" w:hAnsi="Arial" w:cs="Times New Roman"/>
          <w:b/>
          <w:sz w:val="18"/>
          <w:szCs w:val="18"/>
          <w:lang w:eastAsia="en-US"/>
        </w:rPr>
        <w:t>Appendix 1</w:t>
      </w:r>
      <w:r w:rsidRPr="00CA4020">
        <w:rPr>
          <w:rFonts w:ascii="Arial" w:hAnsi="Arial" w:cs="Times New Roman"/>
          <w:sz w:val="18"/>
          <w:szCs w:val="18"/>
          <w:lang w:eastAsia="en-US"/>
        </w:rPr>
        <w:t xml:space="preserve"> attached hereto are incorporated by reference. Any FAR or DFARs clause, which by its terms is required to be included in a subcontract, is hereby incorporated in this Agreement when applicable. </w:t>
      </w:r>
      <w:proofErr w:type="gramStart"/>
      <w:r w:rsidRPr="00CA4020">
        <w:rPr>
          <w:rFonts w:ascii="Arial" w:hAnsi="Arial" w:cs="Times New Roman"/>
          <w:sz w:val="18"/>
          <w:szCs w:val="18"/>
          <w:lang w:eastAsia="en-US"/>
        </w:rPr>
        <w:t>Supplier</w:t>
      </w:r>
      <w:proofErr w:type="gramEnd"/>
      <w:r w:rsidRPr="00CA4020">
        <w:rPr>
          <w:rFonts w:ascii="Arial" w:hAnsi="Arial" w:cs="Times New Roman"/>
          <w:sz w:val="18"/>
          <w:szCs w:val="18"/>
          <w:lang w:eastAsia="en-US"/>
        </w:rPr>
        <w:t xml:space="preserve"> hereby certifies compliance with the clauses listed in </w:t>
      </w:r>
      <w:r w:rsidRPr="00CA4020">
        <w:rPr>
          <w:rFonts w:ascii="Arial" w:hAnsi="Arial" w:cs="Times New Roman"/>
          <w:b/>
          <w:sz w:val="18"/>
          <w:szCs w:val="18"/>
          <w:lang w:eastAsia="en-US"/>
        </w:rPr>
        <w:t>Appendix 1</w:t>
      </w:r>
      <w:r w:rsidR="006975FB" w:rsidRPr="00CA4020">
        <w:rPr>
          <w:rFonts w:ascii="Arial" w:hAnsi="Arial" w:cs="Arial"/>
          <w:sz w:val="18"/>
          <w:szCs w:val="18"/>
        </w:rPr>
        <w:t xml:space="preserve">. </w:t>
      </w:r>
    </w:p>
    <w:p w14:paraId="066CCF1C" w14:textId="6EA2C348" w:rsidR="00A6102D" w:rsidRPr="00580465" w:rsidRDefault="00A64795" w:rsidP="00580465">
      <w:pPr>
        <w:pStyle w:val="ListParagraph"/>
        <w:numPr>
          <w:ilvl w:val="0"/>
          <w:numId w:val="16"/>
        </w:numPr>
        <w:tabs>
          <w:tab w:val="left" w:pos="360"/>
          <w:tab w:val="left" w:pos="5040"/>
        </w:tabs>
        <w:spacing w:before="120"/>
        <w:contextualSpacing w:val="0"/>
        <w:jc w:val="both"/>
        <w:rPr>
          <w:rFonts w:ascii="Arial" w:hAnsi="Arial" w:cs="Arial"/>
          <w:b/>
          <w:bCs/>
          <w:sz w:val="18"/>
          <w:szCs w:val="18"/>
        </w:rPr>
      </w:pPr>
      <w:r w:rsidRPr="00580465">
        <w:rPr>
          <w:rFonts w:ascii="Arial" w:hAnsi="Arial" w:cs="Arial"/>
          <w:b/>
          <w:bCs/>
          <w:sz w:val="18"/>
          <w:szCs w:val="18"/>
        </w:rPr>
        <w:t xml:space="preserve">Export Restrictions.  </w:t>
      </w:r>
    </w:p>
    <w:p w14:paraId="6851D187" w14:textId="3B4D8A46" w:rsidR="00A64795" w:rsidRPr="00E80DCD" w:rsidRDefault="00A64795" w:rsidP="00580465">
      <w:pPr>
        <w:pStyle w:val="ListParagraph"/>
        <w:tabs>
          <w:tab w:val="left" w:pos="360"/>
          <w:tab w:val="left" w:pos="5040"/>
        </w:tabs>
        <w:spacing w:before="120"/>
        <w:contextualSpacing w:val="0"/>
        <w:jc w:val="both"/>
        <w:rPr>
          <w:rFonts w:ascii="Arial" w:hAnsi="Arial" w:cs="Arial"/>
          <w:sz w:val="18"/>
          <w:szCs w:val="18"/>
        </w:rPr>
      </w:pPr>
      <w:r w:rsidRPr="00E80DCD">
        <w:rPr>
          <w:rFonts w:ascii="Arial" w:hAnsi="Arial" w:cs="Arial"/>
          <w:sz w:val="18"/>
          <w:szCs w:val="18"/>
        </w:rPr>
        <w:t>Products</w:t>
      </w:r>
      <w:r w:rsidR="0015073C" w:rsidRPr="00E80DCD">
        <w:rPr>
          <w:rFonts w:ascii="Arial" w:hAnsi="Arial" w:cs="Arial"/>
          <w:sz w:val="18"/>
          <w:szCs w:val="18"/>
        </w:rPr>
        <w:t>, Software</w:t>
      </w:r>
      <w:r w:rsidRPr="00E80DCD">
        <w:rPr>
          <w:rFonts w:ascii="Arial" w:hAnsi="Arial" w:cs="Arial"/>
          <w:sz w:val="18"/>
          <w:szCs w:val="18"/>
        </w:rPr>
        <w:t xml:space="preserve"> and technical data supplied by </w:t>
      </w:r>
      <w:r w:rsidR="00A55CA6">
        <w:rPr>
          <w:rFonts w:ascii="Arial" w:hAnsi="Arial" w:cs="Arial"/>
          <w:sz w:val="18"/>
          <w:szCs w:val="18"/>
        </w:rPr>
        <w:t>Tektronix</w:t>
      </w:r>
      <w:r w:rsidRPr="00E80DCD">
        <w:rPr>
          <w:rFonts w:ascii="Arial" w:hAnsi="Arial" w:cs="Arial"/>
          <w:sz w:val="18"/>
          <w:szCs w:val="18"/>
        </w:rPr>
        <w:t xml:space="preserve"> are subject to export laws</w:t>
      </w:r>
      <w:r w:rsidR="009E5763" w:rsidRPr="00E80DCD">
        <w:rPr>
          <w:rFonts w:ascii="Arial" w:hAnsi="Arial" w:cs="Arial"/>
          <w:sz w:val="18"/>
          <w:szCs w:val="18"/>
        </w:rPr>
        <w:t>,</w:t>
      </w:r>
      <w:r w:rsidRPr="00E80DCD">
        <w:rPr>
          <w:rFonts w:ascii="Arial" w:hAnsi="Arial" w:cs="Arial"/>
          <w:sz w:val="18"/>
          <w:szCs w:val="18"/>
        </w:rPr>
        <w:t xml:space="preserve"> regulations</w:t>
      </w:r>
      <w:r w:rsidR="009E5763" w:rsidRPr="00E80DCD">
        <w:rPr>
          <w:rFonts w:ascii="Arial" w:hAnsi="Arial" w:cs="Arial"/>
          <w:sz w:val="18"/>
          <w:szCs w:val="18"/>
        </w:rPr>
        <w:t>, controls and restrictions</w:t>
      </w:r>
      <w:r w:rsidR="000F2D38" w:rsidRPr="00E80DCD">
        <w:rPr>
          <w:rFonts w:ascii="Arial" w:hAnsi="Arial" w:cs="Arial"/>
          <w:sz w:val="18"/>
          <w:szCs w:val="18"/>
        </w:rPr>
        <w:t xml:space="preserve"> (referred to herein collectively as “</w:t>
      </w:r>
      <w:r w:rsidR="0071418A" w:rsidRPr="00E80DCD">
        <w:rPr>
          <w:rFonts w:ascii="Arial" w:hAnsi="Arial" w:cs="Arial"/>
          <w:sz w:val="18"/>
          <w:szCs w:val="18"/>
        </w:rPr>
        <w:t xml:space="preserve">export </w:t>
      </w:r>
      <w:r w:rsidR="000F2D38" w:rsidRPr="00E80DCD">
        <w:rPr>
          <w:rFonts w:ascii="Arial" w:hAnsi="Arial" w:cs="Arial"/>
          <w:sz w:val="18"/>
          <w:szCs w:val="18"/>
        </w:rPr>
        <w:t>laws”</w:t>
      </w:r>
      <w:r w:rsidRPr="00E80DCD">
        <w:rPr>
          <w:rFonts w:ascii="Arial" w:hAnsi="Arial" w:cs="Arial"/>
          <w:sz w:val="18"/>
          <w:szCs w:val="18"/>
        </w:rPr>
        <w:t xml:space="preserve">.  </w:t>
      </w:r>
      <w:r w:rsidR="00FB2848" w:rsidRPr="00E80DCD">
        <w:rPr>
          <w:rFonts w:ascii="Arial" w:hAnsi="Arial" w:cs="Arial"/>
          <w:sz w:val="18"/>
          <w:szCs w:val="18"/>
        </w:rPr>
        <w:t>These</w:t>
      </w:r>
      <w:r w:rsidRPr="00E80DCD">
        <w:rPr>
          <w:rFonts w:ascii="Arial" w:hAnsi="Arial" w:cs="Arial"/>
          <w:sz w:val="18"/>
          <w:szCs w:val="18"/>
        </w:rPr>
        <w:t xml:space="preserve"> </w:t>
      </w:r>
      <w:r w:rsidR="0071418A" w:rsidRPr="00E80DCD">
        <w:rPr>
          <w:rFonts w:ascii="Arial" w:hAnsi="Arial" w:cs="Arial"/>
          <w:sz w:val="18"/>
          <w:szCs w:val="18"/>
        </w:rPr>
        <w:t xml:space="preserve">export </w:t>
      </w:r>
      <w:r w:rsidRPr="00E80DCD">
        <w:rPr>
          <w:rFonts w:ascii="Arial" w:hAnsi="Arial" w:cs="Arial"/>
          <w:sz w:val="18"/>
          <w:szCs w:val="18"/>
        </w:rPr>
        <w:t xml:space="preserve">laws apply to all transactions, including domestic sales.  </w:t>
      </w:r>
      <w:r w:rsidR="0043432A" w:rsidRPr="00E80DCD">
        <w:rPr>
          <w:rFonts w:ascii="Arial" w:hAnsi="Arial" w:cs="Arial"/>
          <w:sz w:val="18"/>
          <w:szCs w:val="18"/>
        </w:rPr>
        <w:t>Partner</w:t>
      </w:r>
      <w:r w:rsidRPr="00E80DCD">
        <w:rPr>
          <w:rFonts w:ascii="Arial" w:hAnsi="Arial" w:cs="Arial"/>
          <w:sz w:val="18"/>
          <w:szCs w:val="18"/>
        </w:rPr>
        <w:t xml:space="preserve"> will comply with all applicable </w:t>
      </w:r>
      <w:r w:rsidR="0071418A" w:rsidRPr="00E80DCD">
        <w:rPr>
          <w:rFonts w:ascii="Arial" w:hAnsi="Arial" w:cs="Arial"/>
          <w:sz w:val="18"/>
          <w:szCs w:val="18"/>
        </w:rPr>
        <w:t xml:space="preserve">export </w:t>
      </w:r>
      <w:r w:rsidR="000F2D38" w:rsidRPr="00E80DCD">
        <w:rPr>
          <w:rFonts w:ascii="Arial" w:hAnsi="Arial" w:cs="Arial"/>
          <w:sz w:val="18"/>
          <w:szCs w:val="18"/>
        </w:rPr>
        <w:t>laws</w:t>
      </w:r>
      <w:r w:rsidRPr="00E80DCD">
        <w:rPr>
          <w:rFonts w:ascii="Arial" w:hAnsi="Arial" w:cs="Arial"/>
          <w:sz w:val="18"/>
          <w:szCs w:val="18"/>
        </w:rPr>
        <w:t xml:space="preserve"> regarding exports, re-exports and transfers, including obtaining </w:t>
      </w:r>
      <w:r w:rsidR="00E76780" w:rsidRPr="00E80DCD">
        <w:rPr>
          <w:rFonts w:ascii="Arial" w:hAnsi="Arial" w:cs="Arial"/>
          <w:sz w:val="18"/>
          <w:szCs w:val="18"/>
        </w:rPr>
        <w:t>all</w:t>
      </w:r>
      <w:r w:rsidRPr="00E80DCD">
        <w:rPr>
          <w:rFonts w:ascii="Arial" w:hAnsi="Arial" w:cs="Arial"/>
          <w:sz w:val="18"/>
          <w:szCs w:val="18"/>
        </w:rPr>
        <w:t xml:space="preserve"> </w:t>
      </w:r>
      <w:r w:rsidR="00AE1D7E" w:rsidRPr="00E80DCD">
        <w:rPr>
          <w:rFonts w:ascii="Arial" w:hAnsi="Arial" w:cs="Arial"/>
          <w:sz w:val="18"/>
          <w:szCs w:val="18"/>
        </w:rPr>
        <w:t>required country</w:t>
      </w:r>
      <w:r w:rsidRPr="00E80DCD">
        <w:rPr>
          <w:rFonts w:ascii="Arial" w:hAnsi="Arial" w:cs="Arial"/>
          <w:sz w:val="18"/>
          <w:szCs w:val="18"/>
        </w:rPr>
        <w:t xml:space="preserve"> licenses, authorizations, or approvals</w:t>
      </w:r>
      <w:r w:rsidR="000D51B5" w:rsidRPr="00E80DCD">
        <w:rPr>
          <w:rFonts w:ascii="Arial" w:hAnsi="Arial" w:cs="Arial"/>
          <w:sz w:val="18"/>
          <w:szCs w:val="18"/>
        </w:rPr>
        <w:t xml:space="preserve"> as required by law</w:t>
      </w:r>
      <w:r w:rsidRPr="00E80DCD">
        <w:rPr>
          <w:rFonts w:ascii="Arial" w:hAnsi="Arial" w:cs="Arial"/>
          <w:sz w:val="18"/>
          <w:szCs w:val="18"/>
        </w:rPr>
        <w:t>. </w:t>
      </w:r>
      <w:r w:rsidR="000D51B5" w:rsidRPr="00E80DCD">
        <w:rPr>
          <w:rFonts w:ascii="Arial" w:hAnsi="Arial" w:cs="Arial"/>
          <w:sz w:val="18"/>
          <w:szCs w:val="18"/>
        </w:rPr>
        <w:t xml:space="preserve"> It is Partner’s responsibility to determine which, if any </w:t>
      </w:r>
      <w:r w:rsidR="0071418A" w:rsidRPr="00E80DCD">
        <w:rPr>
          <w:rFonts w:ascii="Arial" w:hAnsi="Arial" w:cs="Arial"/>
          <w:sz w:val="18"/>
          <w:szCs w:val="18"/>
        </w:rPr>
        <w:t xml:space="preserve">export </w:t>
      </w:r>
      <w:r w:rsidR="000D51B5" w:rsidRPr="00E80DCD">
        <w:rPr>
          <w:rFonts w:ascii="Arial" w:hAnsi="Arial" w:cs="Arial"/>
          <w:sz w:val="18"/>
          <w:szCs w:val="18"/>
        </w:rPr>
        <w:t xml:space="preserve">laws apply and </w:t>
      </w:r>
      <w:r w:rsidR="005C7C00" w:rsidRPr="00E80DCD">
        <w:rPr>
          <w:rFonts w:ascii="Arial" w:hAnsi="Arial" w:cs="Arial"/>
          <w:sz w:val="18"/>
          <w:szCs w:val="18"/>
        </w:rPr>
        <w:t xml:space="preserve">which licenses are needed to transact </w:t>
      </w:r>
      <w:r w:rsidR="00ED3698" w:rsidRPr="00E80DCD">
        <w:rPr>
          <w:rFonts w:ascii="Arial" w:hAnsi="Arial" w:cs="Arial"/>
          <w:sz w:val="18"/>
          <w:szCs w:val="18"/>
        </w:rPr>
        <w:t>business</w:t>
      </w:r>
      <w:r w:rsidR="005C7C00" w:rsidRPr="00E80DCD">
        <w:rPr>
          <w:rFonts w:ascii="Arial" w:hAnsi="Arial" w:cs="Arial"/>
          <w:sz w:val="18"/>
          <w:szCs w:val="18"/>
        </w:rPr>
        <w:t>.</w:t>
      </w:r>
      <w:r w:rsidRPr="00E80DCD">
        <w:rPr>
          <w:rFonts w:ascii="Arial" w:hAnsi="Arial" w:cs="Arial"/>
          <w:sz w:val="18"/>
          <w:szCs w:val="18"/>
        </w:rPr>
        <w:t xml:space="preserve"> </w:t>
      </w:r>
      <w:r w:rsidR="0043432A" w:rsidRPr="00E80DCD">
        <w:rPr>
          <w:rFonts w:ascii="Arial" w:hAnsi="Arial" w:cs="Arial"/>
          <w:sz w:val="18"/>
          <w:szCs w:val="18"/>
        </w:rPr>
        <w:t>Partner</w:t>
      </w:r>
      <w:r w:rsidRPr="00E80DCD">
        <w:rPr>
          <w:rFonts w:ascii="Arial" w:hAnsi="Arial" w:cs="Arial"/>
          <w:sz w:val="18"/>
          <w:szCs w:val="18"/>
        </w:rPr>
        <w:t xml:space="preserve"> will inform each of its customers</w:t>
      </w:r>
      <w:r w:rsidR="00ED3698" w:rsidRPr="00E80DCD">
        <w:rPr>
          <w:rFonts w:ascii="Arial" w:hAnsi="Arial" w:cs="Arial"/>
          <w:sz w:val="18"/>
          <w:szCs w:val="18"/>
        </w:rPr>
        <w:t xml:space="preserve"> and </w:t>
      </w:r>
      <w:proofErr w:type="gramStart"/>
      <w:r w:rsidR="00ED3698" w:rsidRPr="00E80DCD">
        <w:rPr>
          <w:rFonts w:ascii="Arial" w:hAnsi="Arial" w:cs="Arial"/>
          <w:sz w:val="18"/>
          <w:szCs w:val="18"/>
        </w:rPr>
        <w:t>second tier</w:t>
      </w:r>
      <w:proofErr w:type="gramEnd"/>
      <w:r w:rsidR="00ED3698" w:rsidRPr="00E80DCD">
        <w:rPr>
          <w:rFonts w:ascii="Arial" w:hAnsi="Arial" w:cs="Arial"/>
          <w:sz w:val="18"/>
          <w:szCs w:val="18"/>
        </w:rPr>
        <w:t xml:space="preserve"> resellers,</w:t>
      </w:r>
      <w:r w:rsidRPr="00E80DCD">
        <w:rPr>
          <w:rFonts w:ascii="Arial" w:hAnsi="Arial" w:cs="Arial"/>
          <w:sz w:val="18"/>
          <w:szCs w:val="18"/>
        </w:rPr>
        <w:t xml:space="preserve"> (where the circumstances suggest the customer may be re-selling or exporting) of applicable </w:t>
      </w:r>
      <w:r w:rsidR="003860CF" w:rsidRPr="00E80DCD">
        <w:rPr>
          <w:rFonts w:ascii="Arial" w:hAnsi="Arial" w:cs="Arial"/>
          <w:sz w:val="18"/>
          <w:szCs w:val="18"/>
        </w:rPr>
        <w:t>export laws</w:t>
      </w:r>
      <w:r w:rsidRPr="00E80DCD">
        <w:rPr>
          <w:rFonts w:ascii="Arial" w:hAnsi="Arial" w:cs="Arial"/>
          <w:sz w:val="18"/>
          <w:szCs w:val="18"/>
        </w:rPr>
        <w:t xml:space="preserve"> at the time </w:t>
      </w:r>
      <w:r w:rsidR="0043432A" w:rsidRPr="00E80DCD">
        <w:rPr>
          <w:rFonts w:ascii="Arial" w:hAnsi="Arial" w:cs="Arial"/>
          <w:sz w:val="18"/>
          <w:szCs w:val="18"/>
        </w:rPr>
        <w:t>Partner</w:t>
      </w:r>
      <w:r w:rsidRPr="00E80DCD">
        <w:rPr>
          <w:rFonts w:ascii="Arial" w:hAnsi="Arial" w:cs="Arial"/>
          <w:sz w:val="18"/>
          <w:szCs w:val="18"/>
        </w:rPr>
        <w:t xml:space="preserve"> resells or otherwise disposes of any </w:t>
      </w:r>
      <w:r w:rsidR="00CB37F8" w:rsidRPr="00E80DCD">
        <w:rPr>
          <w:rFonts w:ascii="Arial" w:hAnsi="Arial" w:cs="Arial"/>
          <w:sz w:val="18"/>
          <w:szCs w:val="18"/>
        </w:rPr>
        <w:t>P</w:t>
      </w:r>
      <w:r w:rsidRPr="00E80DCD">
        <w:rPr>
          <w:rFonts w:ascii="Arial" w:hAnsi="Arial" w:cs="Arial"/>
          <w:sz w:val="18"/>
          <w:szCs w:val="18"/>
        </w:rPr>
        <w:t>roduct</w:t>
      </w:r>
      <w:r w:rsidR="00CB37F8" w:rsidRPr="00E80DCD">
        <w:rPr>
          <w:rFonts w:ascii="Arial" w:hAnsi="Arial" w:cs="Arial"/>
          <w:sz w:val="18"/>
          <w:szCs w:val="18"/>
        </w:rPr>
        <w:t>, S</w:t>
      </w:r>
      <w:r w:rsidR="005B195E" w:rsidRPr="00E80DCD">
        <w:rPr>
          <w:rFonts w:ascii="Arial" w:hAnsi="Arial" w:cs="Arial"/>
          <w:sz w:val="18"/>
          <w:szCs w:val="18"/>
        </w:rPr>
        <w:t>o</w:t>
      </w:r>
      <w:r w:rsidR="00CB37F8" w:rsidRPr="00E80DCD">
        <w:rPr>
          <w:rFonts w:ascii="Arial" w:hAnsi="Arial" w:cs="Arial"/>
          <w:sz w:val="18"/>
          <w:szCs w:val="18"/>
        </w:rPr>
        <w:t>ftware</w:t>
      </w:r>
      <w:r w:rsidRPr="00E80DCD">
        <w:rPr>
          <w:rFonts w:ascii="Arial" w:hAnsi="Arial" w:cs="Arial"/>
          <w:sz w:val="18"/>
          <w:szCs w:val="18"/>
        </w:rPr>
        <w:t xml:space="preserve"> or technical data supplied by </w:t>
      </w:r>
      <w:r w:rsidR="00A55CA6">
        <w:rPr>
          <w:rFonts w:ascii="Arial" w:hAnsi="Arial" w:cs="Arial"/>
          <w:sz w:val="18"/>
          <w:szCs w:val="18"/>
        </w:rPr>
        <w:t>Tektronix</w:t>
      </w:r>
      <w:r w:rsidRPr="00E80DCD">
        <w:rPr>
          <w:rFonts w:ascii="Arial" w:hAnsi="Arial" w:cs="Arial"/>
          <w:sz w:val="18"/>
          <w:szCs w:val="18"/>
        </w:rPr>
        <w:t xml:space="preserve">.  </w:t>
      </w:r>
    </w:p>
    <w:p w14:paraId="66ED1D5A" w14:textId="230FD39B" w:rsidR="00F81421" w:rsidRPr="00E80DCD" w:rsidRDefault="008A50FE" w:rsidP="00580465">
      <w:pPr>
        <w:pStyle w:val="ListParagraph"/>
        <w:tabs>
          <w:tab w:val="left" w:pos="360"/>
          <w:tab w:val="left" w:pos="5040"/>
        </w:tabs>
        <w:spacing w:before="120"/>
        <w:contextualSpacing w:val="0"/>
        <w:jc w:val="both"/>
        <w:rPr>
          <w:rFonts w:ascii="Arial" w:hAnsi="Arial" w:cs="Arial"/>
          <w:sz w:val="18"/>
          <w:szCs w:val="18"/>
        </w:rPr>
      </w:pPr>
      <w:r w:rsidRPr="00E80DCD">
        <w:rPr>
          <w:rFonts w:ascii="Arial" w:hAnsi="Arial" w:cs="Arial"/>
          <w:sz w:val="18"/>
          <w:szCs w:val="18"/>
        </w:rPr>
        <w:t>Products</w:t>
      </w:r>
      <w:r w:rsidR="00227029" w:rsidRPr="00E80DCD">
        <w:rPr>
          <w:rFonts w:ascii="Arial" w:hAnsi="Arial" w:cs="Arial"/>
          <w:sz w:val="18"/>
          <w:szCs w:val="18"/>
        </w:rPr>
        <w:t>, Software and technical data</w:t>
      </w:r>
      <w:r w:rsidRPr="00E80DCD">
        <w:rPr>
          <w:rFonts w:ascii="Arial" w:hAnsi="Arial" w:cs="Arial"/>
          <w:sz w:val="18"/>
          <w:szCs w:val="18"/>
        </w:rPr>
        <w:t xml:space="preserve"> may be subject to import laws, which may require registration, licensing or other authorizations for import into certain countries. Where Partner is the importer of record, it is Partner’s responsibility to determine and comply with local Import requirements.</w:t>
      </w:r>
    </w:p>
    <w:p w14:paraId="25E01EA8" w14:textId="52A7D92E" w:rsidR="00A64795" w:rsidRPr="00E80DCD" w:rsidRDefault="0043432A" w:rsidP="00580465">
      <w:pPr>
        <w:pStyle w:val="ListParagraph"/>
        <w:tabs>
          <w:tab w:val="left" w:pos="360"/>
          <w:tab w:val="left" w:pos="5040"/>
        </w:tabs>
        <w:spacing w:before="120"/>
        <w:contextualSpacing w:val="0"/>
        <w:jc w:val="both"/>
        <w:rPr>
          <w:rFonts w:ascii="Arial" w:hAnsi="Arial" w:cs="Arial"/>
          <w:sz w:val="18"/>
          <w:szCs w:val="18"/>
        </w:rPr>
      </w:pPr>
      <w:r w:rsidRPr="00E80DCD">
        <w:rPr>
          <w:rFonts w:ascii="Arial" w:hAnsi="Arial" w:cs="Arial"/>
          <w:sz w:val="18"/>
          <w:szCs w:val="18"/>
        </w:rPr>
        <w:t>Partner</w:t>
      </w:r>
      <w:r w:rsidR="00A64795" w:rsidRPr="00E80DCD">
        <w:rPr>
          <w:rFonts w:ascii="Arial" w:hAnsi="Arial" w:cs="Arial"/>
          <w:sz w:val="18"/>
          <w:szCs w:val="18"/>
        </w:rPr>
        <w:t xml:space="preserve"> agrees to maintain controls adequate to comply with applicable </w:t>
      </w:r>
      <w:r w:rsidR="00AE1D7E" w:rsidRPr="00E80DCD">
        <w:rPr>
          <w:rFonts w:ascii="Arial" w:hAnsi="Arial" w:cs="Arial"/>
          <w:sz w:val="18"/>
          <w:szCs w:val="18"/>
        </w:rPr>
        <w:t>export laws</w:t>
      </w:r>
      <w:r w:rsidR="00A64795" w:rsidRPr="00E80DCD">
        <w:rPr>
          <w:rFonts w:ascii="Arial" w:hAnsi="Arial" w:cs="Arial"/>
          <w:sz w:val="18"/>
          <w:szCs w:val="18"/>
        </w:rPr>
        <w:t xml:space="preserve"> and to certify its compliance annually.  </w:t>
      </w:r>
      <w:r w:rsidR="00A55CA6">
        <w:rPr>
          <w:rFonts w:ascii="Arial" w:hAnsi="Arial" w:cs="Arial"/>
          <w:sz w:val="18"/>
          <w:szCs w:val="18"/>
        </w:rPr>
        <w:t>Tektronix</w:t>
      </w:r>
      <w:r w:rsidR="00A64795" w:rsidRPr="00E80DCD">
        <w:rPr>
          <w:rFonts w:ascii="Arial" w:hAnsi="Arial" w:cs="Arial"/>
          <w:sz w:val="18"/>
          <w:szCs w:val="18"/>
        </w:rPr>
        <w:t xml:space="preserve"> will provide </w:t>
      </w:r>
      <w:r w:rsidRPr="00E80DCD">
        <w:rPr>
          <w:rFonts w:ascii="Arial" w:hAnsi="Arial" w:cs="Arial"/>
          <w:sz w:val="18"/>
          <w:szCs w:val="18"/>
        </w:rPr>
        <w:t>Partner</w:t>
      </w:r>
      <w:r w:rsidR="00A64795" w:rsidRPr="00E80DCD">
        <w:rPr>
          <w:rFonts w:ascii="Arial" w:hAnsi="Arial" w:cs="Arial"/>
          <w:sz w:val="18"/>
          <w:szCs w:val="18"/>
        </w:rPr>
        <w:t xml:space="preserve"> with the form of </w:t>
      </w:r>
      <w:proofErr w:type="gramStart"/>
      <w:r w:rsidR="00A64795" w:rsidRPr="00E80DCD">
        <w:rPr>
          <w:rFonts w:ascii="Arial" w:hAnsi="Arial" w:cs="Arial"/>
          <w:sz w:val="18"/>
          <w:szCs w:val="18"/>
        </w:rPr>
        <w:t>the certification</w:t>
      </w:r>
      <w:proofErr w:type="gramEnd"/>
      <w:r w:rsidR="00A64795" w:rsidRPr="00E80DCD">
        <w:rPr>
          <w:rFonts w:ascii="Arial" w:hAnsi="Arial" w:cs="Arial"/>
          <w:sz w:val="18"/>
          <w:szCs w:val="18"/>
        </w:rPr>
        <w:t xml:space="preserve"> and guidance on any export control/licensing requirements.  </w:t>
      </w:r>
      <w:r w:rsidRPr="00E80DCD">
        <w:rPr>
          <w:rFonts w:ascii="Arial" w:hAnsi="Arial" w:cs="Arial"/>
          <w:sz w:val="18"/>
          <w:szCs w:val="18"/>
        </w:rPr>
        <w:t>Partner</w:t>
      </w:r>
      <w:r w:rsidR="00A64795" w:rsidRPr="00E80DCD">
        <w:rPr>
          <w:rFonts w:ascii="Arial" w:hAnsi="Arial" w:cs="Arial"/>
          <w:sz w:val="18"/>
          <w:szCs w:val="18"/>
        </w:rPr>
        <w:t xml:space="preserve"> agrees to complete export control training</w:t>
      </w:r>
      <w:r w:rsidR="00C26CB1" w:rsidRPr="00E80DCD">
        <w:rPr>
          <w:rFonts w:ascii="Arial" w:hAnsi="Arial" w:cs="Arial"/>
          <w:sz w:val="18"/>
          <w:szCs w:val="18"/>
        </w:rPr>
        <w:t xml:space="preserve"> no less than once</w:t>
      </w:r>
      <w:r w:rsidR="00A64795" w:rsidRPr="00E80DCD">
        <w:rPr>
          <w:rFonts w:ascii="Arial" w:hAnsi="Arial" w:cs="Arial"/>
          <w:sz w:val="18"/>
          <w:szCs w:val="18"/>
        </w:rPr>
        <w:t xml:space="preserve"> every three years.</w:t>
      </w:r>
      <w:r w:rsidR="004A0DDC" w:rsidRPr="00E80DCD">
        <w:rPr>
          <w:rFonts w:ascii="Arial" w:hAnsi="Arial" w:cs="Arial"/>
          <w:sz w:val="18"/>
          <w:szCs w:val="18"/>
        </w:rPr>
        <w:t xml:space="preserve"> </w:t>
      </w:r>
      <w:r w:rsidR="00A55CA6">
        <w:rPr>
          <w:rFonts w:ascii="Arial" w:hAnsi="Arial" w:cs="Arial"/>
          <w:sz w:val="18"/>
          <w:szCs w:val="18"/>
        </w:rPr>
        <w:t>Tektronix</w:t>
      </w:r>
      <w:r w:rsidR="004A0DDC" w:rsidRPr="00E80DCD">
        <w:rPr>
          <w:rFonts w:ascii="Arial" w:hAnsi="Arial" w:cs="Arial"/>
          <w:sz w:val="18"/>
          <w:szCs w:val="18"/>
        </w:rPr>
        <w:t xml:space="preserve"> will provide training materials and related knowledge review. </w:t>
      </w:r>
      <w:r w:rsidR="00A55CA6">
        <w:rPr>
          <w:rFonts w:ascii="Arial" w:hAnsi="Arial" w:cs="Arial"/>
          <w:sz w:val="18"/>
          <w:szCs w:val="18"/>
        </w:rPr>
        <w:t>Tektronix</w:t>
      </w:r>
      <w:r w:rsidR="004A0DDC" w:rsidRPr="00E80DCD">
        <w:rPr>
          <w:rFonts w:ascii="Arial" w:hAnsi="Arial" w:cs="Arial"/>
          <w:sz w:val="18"/>
          <w:szCs w:val="18"/>
        </w:rPr>
        <w:t xml:space="preserve"> reserves the right to cancel any order if requirements under the Partner Export Control Certification are not met.</w:t>
      </w:r>
    </w:p>
    <w:p w14:paraId="2204DB1D" w14:textId="512E6F3E" w:rsidR="00A64795" w:rsidRPr="00E80DCD" w:rsidRDefault="0043432A" w:rsidP="00580465">
      <w:pPr>
        <w:pStyle w:val="ListParagraph"/>
        <w:tabs>
          <w:tab w:val="left" w:pos="360"/>
          <w:tab w:val="left" w:pos="5040"/>
        </w:tabs>
        <w:spacing w:before="120"/>
        <w:contextualSpacing w:val="0"/>
        <w:jc w:val="both"/>
        <w:rPr>
          <w:rFonts w:ascii="Arial" w:hAnsi="Arial" w:cs="Arial"/>
          <w:sz w:val="18"/>
          <w:szCs w:val="18"/>
        </w:rPr>
      </w:pPr>
      <w:r w:rsidRPr="00E80DCD">
        <w:rPr>
          <w:rFonts w:ascii="Arial" w:hAnsi="Arial" w:cs="Arial"/>
          <w:sz w:val="18"/>
          <w:szCs w:val="18"/>
        </w:rPr>
        <w:t>Partner</w:t>
      </w:r>
      <w:r w:rsidR="00A64795" w:rsidRPr="00E80DCD">
        <w:rPr>
          <w:rFonts w:ascii="Arial" w:hAnsi="Arial" w:cs="Arial"/>
          <w:sz w:val="18"/>
          <w:szCs w:val="18"/>
        </w:rPr>
        <w:t xml:space="preserve"> agrees to </w:t>
      </w:r>
      <w:r w:rsidR="00577E9F" w:rsidRPr="00E80DCD">
        <w:rPr>
          <w:rFonts w:ascii="Arial" w:hAnsi="Arial" w:cs="Arial"/>
          <w:sz w:val="18"/>
          <w:szCs w:val="18"/>
        </w:rPr>
        <w:t xml:space="preserve">maintain complete records of all exports, re-exports, </w:t>
      </w:r>
      <w:r w:rsidR="00AD2218" w:rsidRPr="00E80DCD">
        <w:rPr>
          <w:rFonts w:ascii="Arial" w:hAnsi="Arial" w:cs="Arial"/>
          <w:sz w:val="18"/>
          <w:szCs w:val="18"/>
        </w:rPr>
        <w:t>and transfers</w:t>
      </w:r>
      <w:r w:rsidR="00B01427" w:rsidRPr="00E80DCD">
        <w:rPr>
          <w:rFonts w:ascii="Arial" w:hAnsi="Arial" w:cs="Arial"/>
          <w:sz w:val="18"/>
          <w:szCs w:val="18"/>
        </w:rPr>
        <w:t xml:space="preserve"> of</w:t>
      </w:r>
      <w:r w:rsidR="00227029" w:rsidRPr="00E80DCD">
        <w:rPr>
          <w:rFonts w:ascii="Arial" w:hAnsi="Arial" w:cs="Arial"/>
          <w:sz w:val="18"/>
          <w:szCs w:val="18"/>
        </w:rPr>
        <w:t xml:space="preserve"> </w:t>
      </w:r>
      <w:r w:rsidR="00A55CA6">
        <w:rPr>
          <w:rFonts w:ascii="Arial" w:hAnsi="Arial" w:cs="Arial"/>
          <w:sz w:val="18"/>
          <w:szCs w:val="18"/>
        </w:rPr>
        <w:t>Tektronix</w:t>
      </w:r>
      <w:r w:rsidR="00227029" w:rsidRPr="00E80DCD">
        <w:rPr>
          <w:rFonts w:ascii="Arial" w:hAnsi="Arial" w:cs="Arial"/>
          <w:sz w:val="18"/>
          <w:szCs w:val="18"/>
        </w:rPr>
        <w:t xml:space="preserve"> Products, Software and technical data.</w:t>
      </w:r>
      <w:r w:rsidR="00C12A4D" w:rsidRPr="00E80DCD">
        <w:rPr>
          <w:rFonts w:ascii="Arial" w:hAnsi="Arial" w:cs="Arial"/>
          <w:sz w:val="18"/>
          <w:szCs w:val="18"/>
        </w:rPr>
        <w:t xml:space="preserve"> </w:t>
      </w:r>
      <w:r w:rsidR="00A55CA6">
        <w:rPr>
          <w:rFonts w:ascii="Arial" w:hAnsi="Arial" w:cs="Arial"/>
          <w:sz w:val="18"/>
          <w:szCs w:val="18"/>
        </w:rPr>
        <w:t>Tektronix</w:t>
      </w:r>
      <w:r w:rsidR="00C12A4D" w:rsidRPr="00E80DCD">
        <w:rPr>
          <w:rFonts w:ascii="Arial" w:hAnsi="Arial" w:cs="Arial"/>
          <w:sz w:val="18"/>
          <w:szCs w:val="18"/>
        </w:rPr>
        <w:t xml:space="preserve"> reserves the right to review Partner’s export control procedures and Point-of-Sale data for compliance with export laws.  Non-compliance </w:t>
      </w:r>
      <w:r w:rsidR="00B01427" w:rsidRPr="00E80DCD">
        <w:rPr>
          <w:rFonts w:ascii="Arial" w:hAnsi="Arial" w:cs="Arial"/>
          <w:sz w:val="18"/>
          <w:szCs w:val="18"/>
        </w:rPr>
        <w:t>of export</w:t>
      </w:r>
      <w:r w:rsidR="00C12A4D" w:rsidRPr="00E80DCD">
        <w:rPr>
          <w:rFonts w:ascii="Arial" w:hAnsi="Arial" w:cs="Arial"/>
          <w:sz w:val="18"/>
          <w:szCs w:val="18"/>
        </w:rPr>
        <w:t xml:space="preserve"> laws may result in</w:t>
      </w:r>
      <w:r w:rsidR="000448FE" w:rsidRPr="00E80DCD">
        <w:rPr>
          <w:rFonts w:ascii="Arial" w:hAnsi="Arial" w:cs="Arial"/>
          <w:sz w:val="18"/>
          <w:szCs w:val="18"/>
        </w:rPr>
        <w:t xml:space="preserve"> cancellation of the violating order or</w:t>
      </w:r>
      <w:r w:rsidR="00C12A4D" w:rsidRPr="00E80DCD">
        <w:rPr>
          <w:rFonts w:ascii="Arial" w:hAnsi="Arial" w:cs="Arial"/>
          <w:sz w:val="18"/>
          <w:szCs w:val="18"/>
        </w:rPr>
        <w:t xml:space="preserve"> termination of this </w:t>
      </w:r>
      <w:r w:rsidR="00C836DC" w:rsidRPr="00E80DCD">
        <w:rPr>
          <w:rFonts w:ascii="Arial" w:hAnsi="Arial" w:cs="Arial"/>
          <w:sz w:val="18"/>
          <w:szCs w:val="18"/>
        </w:rPr>
        <w:t>Partner Agreement</w:t>
      </w:r>
      <w:r w:rsidR="00C12A4D" w:rsidRPr="00E80DCD">
        <w:rPr>
          <w:rFonts w:ascii="Arial" w:hAnsi="Arial" w:cs="Arial"/>
          <w:sz w:val="18"/>
          <w:szCs w:val="18"/>
        </w:rPr>
        <w:t xml:space="preserve">.  Any Products sold in violation of export controls laws cannot be serviced or supported by </w:t>
      </w:r>
      <w:r w:rsidR="00A55CA6">
        <w:rPr>
          <w:rFonts w:ascii="Arial" w:hAnsi="Arial" w:cs="Arial"/>
          <w:sz w:val="18"/>
          <w:szCs w:val="18"/>
        </w:rPr>
        <w:t>Tektronix</w:t>
      </w:r>
      <w:r w:rsidR="00C12A4D" w:rsidRPr="00E80DCD">
        <w:rPr>
          <w:rFonts w:ascii="Arial" w:hAnsi="Arial" w:cs="Arial"/>
          <w:sz w:val="18"/>
          <w:szCs w:val="18"/>
        </w:rPr>
        <w:t>.  Warranty for any such Products is therefore void.</w:t>
      </w:r>
      <w:r w:rsidR="00227029" w:rsidRPr="00E80DCD">
        <w:rPr>
          <w:rFonts w:ascii="Arial" w:hAnsi="Arial" w:cs="Arial"/>
          <w:sz w:val="18"/>
          <w:szCs w:val="18"/>
        </w:rPr>
        <w:t xml:space="preserve"> </w:t>
      </w:r>
      <w:r w:rsidR="00A64795" w:rsidRPr="00E80DCD">
        <w:rPr>
          <w:rFonts w:ascii="Arial" w:hAnsi="Arial" w:cs="Arial"/>
          <w:sz w:val="18"/>
          <w:szCs w:val="18"/>
        </w:rPr>
        <w:t xml:space="preserve"> </w:t>
      </w:r>
    </w:p>
    <w:p w14:paraId="2CC422E1" w14:textId="7D6E8B11" w:rsidR="00A64795" w:rsidRPr="00E80DCD" w:rsidRDefault="0043432A" w:rsidP="00580465">
      <w:pPr>
        <w:pStyle w:val="ListParagraph"/>
        <w:tabs>
          <w:tab w:val="left" w:pos="360"/>
          <w:tab w:val="left" w:pos="5040"/>
        </w:tabs>
        <w:spacing w:before="120"/>
        <w:contextualSpacing w:val="0"/>
        <w:jc w:val="both"/>
        <w:rPr>
          <w:rFonts w:ascii="Arial" w:hAnsi="Arial" w:cs="Arial"/>
          <w:sz w:val="18"/>
          <w:szCs w:val="18"/>
        </w:rPr>
      </w:pPr>
      <w:r w:rsidRPr="00E80DCD">
        <w:rPr>
          <w:rFonts w:ascii="Arial" w:hAnsi="Arial" w:cs="Arial"/>
          <w:sz w:val="18"/>
          <w:szCs w:val="18"/>
        </w:rPr>
        <w:t>Partner</w:t>
      </w:r>
      <w:r w:rsidR="00A64795" w:rsidRPr="00E80DCD">
        <w:rPr>
          <w:rFonts w:ascii="Arial" w:hAnsi="Arial" w:cs="Arial"/>
          <w:sz w:val="18"/>
          <w:szCs w:val="18"/>
        </w:rPr>
        <w:t xml:space="preserve"> shall provide annual certification of compliance with applicable export laws applicable to </w:t>
      </w:r>
      <w:r w:rsidRPr="00E80DCD">
        <w:rPr>
          <w:rFonts w:ascii="Arial" w:hAnsi="Arial" w:cs="Arial"/>
          <w:sz w:val="18"/>
          <w:szCs w:val="18"/>
        </w:rPr>
        <w:t>Partner</w:t>
      </w:r>
      <w:r w:rsidR="00A64795" w:rsidRPr="00E80DCD">
        <w:rPr>
          <w:rFonts w:ascii="Arial" w:hAnsi="Arial" w:cs="Arial"/>
          <w:sz w:val="18"/>
          <w:szCs w:val="18"/>
        </w:rPr>
        <w:t>’s activities related to this</w:t>
      </w:r>
      <w:r w:rsidR="00C836DC" w:rsidRPr="00E80DCD">
        <w:rPr>
          <w:rFonts w:ascii="Arial" w:hAnsi="Arial" w:cs="Arial"/>
          <w:sz w:val="18"/>
          <w:szCs w:val="18"/>
        </w:rPr>
        <w:t xml:space="preserve"> Partner</w:t>
      </w:r>
      <w:r w:rsidR="00A64795" w:rsidRPr="00E80DCD">
        <w:rPr>
          <w:rFonts w:ascii="Arial" w:hAnsi="Arial" w:cs="Arial"/>
          <w:sz w:val="18"/>
          <w:szCs w:val="18"/>
        </w:rPr>
        <w:t xml:space="preserve"> Agreement in a form provided by </w:t>
      </w:r>
      <w:r w:rsidR="00A55CA6">
        <w:rPr>
          <w:rFonts w:ascii="Arial" w:hAnsi="Arial" w:cs="Arial"/>
          <w:sz w:val="18"/>
          <w:szCs w:val="18"/>
        </w:rPr>
        <w:t>Tektronix</w:t>
      </w:r>
      <w:r w:rsidR="00A64795" w:rsidRPr="00E80DCD">
        <w:rPr>
          <w:rFonts w:ascii="Arial" w:hAnsi="Arial" w:cs="Arial"/>
          <w:sz w:val="18"/>
          <w:szCs w:val="18"/>
        </w:rPr>
        <w:t>.</w:t>
      </w:r>
    </w:p>
    <w:p w14:paraId="1981048A" w14:textId="025B9B50" w:rsidR="009E1B5A" w:rsidRPr="003D4858" w:rsidRDefault="0031510F" w:rsidP="003D4858">
      <w:pPr>
        <w:pStyle w:val="ListParagraph"/>
        <w:numPr>
          <w:ilvl w:val="0"/>
          <w:numId w:val="16"/>
        </w:numPr>
        <w:tabs>
          <w:tab w:val="left" w:pos="360"/>
        </w:tabs>
        <w:spacing w:before="120" w:after="120"/>
        <w:contextualSpacing w:val="0"/>
        <w:jc w:val="both"/>
        <w:rPr>
          <w:rFonts w:ascii="Arial" w:hAnsi="Arial" w:cs="Arial"/>
          <w:sz w:val="18"/>
          <w:szCs w:val="18"/>
        </w:rPr>
      </w:pPr>
      <w:r>
        <w:rPr>
          <w:rFonts w:ascii="Arial" w:hAnsi="Arial" w:cs="Arial"/>
          <w:b/>
          <w:bCs/>
          <w:snapToGrid w:val="0"/>
          <w:sz w:val="18"/>
          <w:szCs w:val="18"/>
        </w:rPr>
        <w:t>Data Privacy</w:t>
      </w:r>
      <w:r w:rsidR="004D1513" w:rsidRPr="00580465">
        <w:rPr>
          <w:rFonts w:ascii="Arial" w:hAnsi="Arial" w:cs="Arial"/>
          <w:snapToGrid w:val="0"/>
          <w:sz w:val="18"/>
          <w:szCs w:val="18"/>
        </w:rPr>
        <w:t xml:space="preserve">:  </w:t>
      </w:r>
      <w:r w:rsidRPr="004613E5">
        <w:rPr>
          <w:rFonts w:ascii="Arial" w:hAnsi="Arial" w:cs="Arial"/>
          <w:snapToGrid w:val="0"/>
          <w:sz w:val="18"/>
          <w:szCs w:val="18"/>
        </w:rPr>
        <w:t xml:space="preserve">The </w:t>
      </w:r>
      <w:r w:rsidR="00EB2A63" w:rsidRPr="004613E5">
        <w:rPr>
          <w:rFonts w:ascii="Arial" w:hAnsi="Arial" w:cs="Arial"/>
          <w:snapToGrid w:val="0"/>
          <w:sz w:val="18"/>
          <w:szCs w:val="18"/>
        </w:rPr>
        <w:t xml:space="preserve">Partner </w:t>
      </w:r>
      <w:r w:rsidRPr="004613E5">
        <w:rPr>
          <w:rFonts w:ascii="Arial" w:hAnsi="Arial" w:cs="Arial"/>
          <w:snapToGrid w:val="0"/>
          <w:sz w:val="18"/>
          <w:szCs w:val="18"/>
        </w:rPr>
        <w:t>D</w:t>
      </w:r>
      <w:r w:rsidR="003024B5" w:rsidRPr="004613E5">
        <w:rPr>
          <w:rFonts w:ascii="Arial" w:hAnsi="Arial" w:cs="Arial"/>
          <w:snapToGrid w:val="0"/>
          <w:sz w:val="18"/>
          <w:szCs w:val="18"/>
        </w:rPr>
        <w:t xml:space="preserve">ata Privacy Addendum </w:t>
      </w:r>
      <w:r w:rsidR="004613E5">
        <w:rPr>
          <w:rFonts w:ascii="Arial" w:hAnsi="Arial" w:cs="Arial"/>
          <w:snapToGrid w:val="0"/>
          <w:sz w:val="18"/>
          <w:szCs w:val="18"/>
        </w:rPr>
        <w:t>below</w:t>
      </w:r>
      <w:r w:rsidR="003024B5" w:rsidRPr="004613E5">
        <w:rPr>
          <w:rFonts w:ascii="Arial" w:hAnsi="Arial" w:cs="Arial"/>
          <w:snapToGrid w:val="0"/>
          <w:sz w:val="18"/>
          <w:szCs w:val="18"/>
        </w:rPr>
        <w:t xml:space="preserve"> is </w:t>
      </w:r>
      <w:r w:rsidR="0050327F" w:rsidRPr="004613E5">
        <w:rPr>
          <w:rFonts w:ascii="Arial" w:hAnsi="Arial" w:cs="Arial"/>
          <w:snapToGrid w:val="0"/>
          <w:sz w:val="18"/>
          <w:szCs w:val="18"/>
        </w:rPr>
        <w:t>incorporated by reference</w:t>
      </w:r>
      <w:r w:rsidR="004613E5" w:rsidRPr="004613E5">
        <w:rPr>
          <w:rFonts w:ascii="Arial" w:hAnsi="Arial" w:cs="Arial"/>
          <w:snapToGrid w:val="0"/>
          <w:sz w:val="18"/>
          <w:szCs w:val="18"/>
        </w:rPr>
        <w:t xml:space="preserve"> </w:t>
      </w:r>
      <w:r w:rsidR="004613E5">
        <w:rPr>
          <w:rFonts w:ascii="Arial" w:hAnsi="Arial" w:cs="Arial"/>
          <w:snapToGrid w:val="0"/>
          <w:sz w:val="18"/>
          <w:szCs w:val="18"/>
        </w:rPr>
        <w:t>in</w:t>
      </w:r>
      <w:r w:rsidR="004613E5" w:rsidRPr="004613E5">
        <w:rPr>
          <w:rFonts w:ascii="Arial" w:hAnsi="Arial" w:cs="Arial"/>
          <w:snapToGrid w:val="0"/>
          <w:sz w:val="18"/>
          <w:szCs w:val="18"/>
        </w:rPr>
        <w:t>to this Agreement</w:t>
      </w:r>
      <w:r w:rsidR="0050327F" w:rsidRPr="004613E5">
        <w:rPr>
          <w:rFonts w:ascii="Arial" w:hAnsi="Arial" w:cs="Arial"/>
          <w:snapToGrid w:val="0"/>
          <w:sz w:val="18"/>
          <w:szCs w:val="18"/>
        </w:rPr>
        <w:t>.</w:t>
      </w:r>
      <w:r w:rsidR="004B1C74" w:rsidRPr="004613E5">
        <w:rPr>
          <w:rFonts w:ascii="Arial" w:hAnsi="Arial" w:cs="Arial"/>
          <w:snapToGrid w:val="0"/>
          <w:sz w:val="18"/>
          <w:szCs w:val="18"/>
        </w:rPr>
        <w:t xml:space="preserve"> </w:t>
      </w:r>
    </w:p>
    <w:p w14:paraId="7B7AD3E6" w14:textId="377E8C26" w:rsidR="00EE2017" w:rsidRPr="00580465" w:rsidRDefault="00EE2017" w:rsidP="00580465">
      <w:pPr>
        <w:pStyle w:val="ListParagraph"/>
        <w:numPr>
          <w:ilvl w:val="0"/>
          <w:numId w:val="16"/>
        </w:numPr>
        <w:tabs>
          <w:tab w:val="left" w:pos="360"/>
        </w:tabs>
        <w:spacing w:before="120"/>
        <w:contextualSpacing w:val="0"/>
        <w:jc w:val="both"/>
        <w:rPr>
          <w:rFonts w:ascii="Arial" w:hAnsi="Arial" w:cs="Arial"/>
          <w:sz w:val="18"/>
          <w:szCs w:val="18"/>
        </w:rPr>
      </w:pPr>
      <w:r w:rsidRPr="00580465">
        <w:rPr>
          <w:rFonts w:ascii="Arial" w:hAnsi="Arial" w:cs="Arial"/>
          <w:b/>
          <w:bCs/>
          <w:sz w:val="18"/>
          <w:szCs w:val="18"/>
        </w:rPr>
        <w:t xml:space="preserve">Term, Expiration, Termination.  </w:t>
      </w:r>
      <w:r w:rsidRPr="00580465">
        <w:rPr>
          <w:rFonts w:ascii="Arial" w:hAnsi="Arial" w:cs="Arial"/>
          <w:sz w:val="18"/>
          <w:szCs w:val="18"/>
        </w:rPr>
        <w:t xml:space="preserve">The </w:t>
      </w:r>
      <w:r w:rsidR="00A4608D">
        <w:rPr>
          <w:rFonts w:ascii="Arial" w:hAnsi="Arial" w:cs="Arial"/>
          <w:sz w:val="18"/>
          <w:szCs w:val="18"/>
        </w:rPr>
        <w:t xml:space="preserve">Effective Date, Expiration Date, </w:t>
      </w:r>
      <w:r w:rsidR="004710FA">
        <w:rPr>
          <w:rFonts w:ascii="Arial" w:hAnsi="Arial" w:cs="Arial"/>
          <w:sz w:val="18"/>
          <w:szCs w:val="18"/>
        </w:rPr>
        <w:t xml:space="preserve">termination </w:t>
      </w:r>
      <w:r w:rsidR="00A4608D">
        <w:rPr>
          <w:rFonts w:ascii="Arial" w:hAnsi="Arial" w:cs="Arial"/>
          <w:sz w:val="18"/>
          <w:szCs w:val="18"/>
        </w:rPr>
        <w:t xml:space="preserve">and </w:t>
      </w:r>
      <w:r w:rsidRPr="00580465">
        <w:rPr>
          <w:rFonts w:ascii="Arial" w:hAnsi="Arial" w:cs="Arial"/>
          <w:sz w:val="18"/>
          <w:szCs w:val="18"/>
        </w:rPr>
        <w:t xml:space="preserve">term of this </w:t>
      </w:r>
      <w:r w:rsidR="00C836DC" w:rsidRPr="00580465">
        <w:rPr>
          <w:rFonts w:ascii="Arial" w:hAnsi="Arial" w:cs="Arial"/>
          <w:sz w:val="18"/>
          <w:szCs w:val="18"/>
        </w:rPr>
        <w:t xml:space="preserve">Partner </w:t>
      </w:r>
      <w:r w:rsidRPr="00580465">
        <w:rPr>
          <w:rFonts w:ascii="Arial" w:hAnsi="Arial" w:cs="Arial"/>
          <w:sz w:val="18"/>
          <w:szCs w:val="18"/>
        </w:rPr>
        <w:t xml:space="preserve">Agreement and </w:t>
      </w:r>
      <w:r w:rsidR="0073573B" w:rsidRPr="00580465">
        <w:rPr>
          <w:rFonts w:ascii="Arial" w:hAnsi="Arial" w:cs="Arial"/>
          <w:sz w:val="18"/>
          <w:szCs w:val="18"/>
        </w:rPr>
        <w:t>Partner</w:t>
      </w:r>
      <w:r w:rsidRPr="00580465">
        <w:rPr>
          <w:rFonts w:ascii="Arial" w:hAnsi="Arial" w:cs="Arial"/>
          <w:sz w:val="18"/>
          <w:szCs w:val="18"/>
        </w:rPr>
        <w:t>'s appointment</w:t>
      </w:r>
      <w:r w:rsidR="0074269A" w:rsidRPr="00580465">
        <w:rPr>
          <w:rFonts w:ascii="Arial" w:hAnsi="Arial" w:cs="Arial"/>
          <w:sz w:val="18"/>
          <w:szCs w:val="18"/>
        </w:rPr>
        <w:t xml:space="preserve"> as an authorized </w:t>
      </w:r>
      <w:r w:rsidR="00A55CA6">
        <w:rPr>
          <w:rFonts w:ascii="Arial" w:hAnsi="Arial" w:cs="Arial"/>
          <w:sz w:val="18"/>
          <w:szCs w:val="18"/>
        </w:rPr>
        <w:t>Tektronix</w:t>
      </w:r>
      <w:r w:rsidR="0074269A" w:rsidRPr="00580465">
        <w:rPr>
          <w:rFonts w:ascii="Arial" w:hAnsi="Arial" w:cs="Arial"/>
          <w:sz w:val="18"/>
          <w:szCs w:val="18"/>
        </w:rPr>
        <w:t xml:space="preserve"> Partner</w:t>
      </w:r>
      <w:r w:rsidRPr="00580465">
        <w:rPr>
          <w:rFonts w:ascii="Arial" w:hAnsi="Arial" w:cs="Arial"/>
          <w:sz w:val="18"/>
          <w:szCs w:val="18"/>
        </w:rPr>
        <w:t xml:space="preserve"> </w:t>
      </w:r>
      <w:r w:rsidR="005066CC" w:rsidRPr="00580465">
        <w:rPr>
          <w:rFonts w:ascii="Arial" w:hAnsi="Arial" w:cs="Arial"/>
          <w:sz w:val="18"/>
          <w:szCs w:val="18"/>
        </w:rPr>
        <w:t xml:space="preserve">is </w:t>
      </w:r>
      <w:r w:rsidR="00A4608D">
        <w:rPr>
          <w:rFonts w:ascii="Arial" w:hAnsi="Arial" w:cs="Arial"/>
          <w:sz w:val="18"/>
          <w:szCs w:val="18"/>
        </w:rPr>
        <w:t>provided</w:t>
      </w:r>
      <w:r w:rsidR="00A4608D" w:rsidRPr="00580465">
        <w:rPr>
          <w:rFonts w:ascii="Arial" w:hAnsi="Arial" w:cs="Arial"/>
          <w:sz w:val="18"/>
          <w:szCs w:val="18"/>
        </w:rPr>
        <w:t xml:space="preserve"> </w:t>
      </w:r>
      <w:r w:rsidR="00A4608D">
        <w:rPr>
          <w:rFonts w:ascii="Arial" w:hAnsi="Arial" w:cs="Arial"/>
          <w:sz w:val="18"/>
          <w:szCs w:val="18"/>
        </w:rPr>
        <w:t>in the</w:t>
      </w:r>
      <w:r w:rsidR="005066CC" w:rsidRPr="00580465">
        <w:rPr>
          <w:rFonts w:ascii="Arial" w:hAnsi="Arial" w:cs="Arial"/>
          <w:sz w:val="18"/>
          <w:szCs w:val="18"/>
        </w:rPr>
        <w:t xml:space="preserve"> Supplement(s)</w:t>
      </w:r>
      <w:r w:rsidR="00A4608D">
        <w:rPr>
          <w:rFonts w:ascii="Arial" w:hAnsi="Arial" w:cs="Arial"/>
          <w:sz w:val="18"/>
          <w:szCs w:val="18"/>
        </w:rPr>
        <w:t>.</w:t>
      </w:r>
      <w:r w:rsidR="004710FA">
        <w:rPr>
          <w:rFonts w:ascii="Arial" w:hAnsi="Arial" w:cs="Arial"/>
          <w:sz w:val="18"/>
          <w:szCs w:val="18"/>
        </w:rPr>
        <w:t xml:space="preserve"> </w:t>
      </w:r>
    </w:p>
    <w:p w14:paraId="3B2EB2A6" w14:textId="22C672F0" w:rsidR="003719D3" w:rsidRPr="00E80DCD" w:rsidRDefault="003719D3" w:rsidP="00580465">
      <w:pPr>
        <w:tabs>
          <w:tab w:val="left" w:pos="360"/>
          <w:tab w:val="left" w:pos="5040"/>
        </w:tabs>
        <w:spacing w:before="120"/>
        <w:ind w:left="360"/>
        <w:jc w:val="both"/>
        <w:rPr>
          <w:rFonts w:ascii="Arial" w:hAnsi="Arial" w:cs="Arial"/>
          <w:sz w:val="18"/>
          <w:szCs w:val="18"/>
        </w:rPr>
      </w:pPr>
      <w:r w:rsidRPr="00E80DCD">
        <w:rPr>
          <w:rFonts w:ascii="Arial" w:hAnsi="Arial" w:cs="Arial"/>
          <w:sz w:val="18"/>
          <w:szCs w:val="18"/>
        </w:rPr>
        <w:t xml:space="preserve">Termination or expiration of </w:t>
      </w:r>
      <w:r w:rsidR="00A06442">
        <w:rPr>
          <w:rFonts w:ascii="Arial" w:hAnsi="Arial" w:cs="Arial"/>
          <w:sz w:val="18"/>
          <w:szCs w:val="18"/>
        </w:rPr>
        <w:t>this</w:t>
      </w:r>
      <w:r w:rsidR="004710FA" w:rsidRPr="00E80DCD">
        <w:rPr>
          <w:rFonts w:ascii="Arial" w:hAnsi="Arial" w:cs="Arial"/>
          <w:sz w:val="18"/>
          <w:szCs w:val="18"/>
        </w:rPr>
        <w:t xml:space="preserve"> </w:t>
      </w:r>
      <w:r w:rsidRPr="00E80DCD">
        <w:rPr>
          <w:rFonts w:ascii="Arial" w:hAnsi="Arial" w:cs="Arial"/>
          <w:sz w:val="18"/>
          <w:szCs w:val="18"/>
        </w:rPr>
        <w:t xml:space="preserve">Agreement or </w:t>
      </w:r>
      <w:r w:rsidR="004710FA">
        <w:rPr>
          <w:rFonts w:ascii="Arial" w:hAnsi="Arial" w:cs="Arial"/>
          <w:sz w:val="18"/>
          <w:szCs w:val="18"/>
        </w:rPr>
        <w:t>any</w:t>
      </w:r>
      <w:r w:rsidR="004710FA" w:rsidRPr="00E80DCD">
        <w:rPr>
          <w:rFonts w:ascii="Arial" w:hAnsi="Arial" w:cs="Arial"/>
          <w:sz w:val="18"/>
          <w:szCs w:val="18"/>
        </w:rPr>
        <w:t xml:space="preserve"> </w:t>
      </w:r>
      <w:r w:rsidRPr="00E80DCD">
        <w:rPr>
          <w:rFonts w:ascii="Arial" w:hAnsi="Arial" w:cs="Arial"/>
          <w:sz w:val="18"/>
          <w:szCs w:val="18"/>
        </w:rPr>
        <w:t>Supplement shall not release either party from any obligation accrued or incurred prior to or in connection with such termination.</w:t>
      </w:r>
    </w:p>
    <w:p w14:paraId="09885490" w14:textId="2D5AAAC8" w:rsidR="003719D3" w:rsidRPr="00E80DCD" w:rsidRDefault="003719D3" w:rsidP="00580465">
      <w:pPr>
        <w:tabs>
          <w:tab w:val="left" w:pos="360"/>
          <w:tab w:val="left" w:pos="5040"/>
        </w:tabs>
        <w:spacing w:before="120"/>
        <w:ind w:left="360"/>
        <w:jc w:val="both"/>
        <w:rPr>
          <w:rFonts w:ascii="Arial" w:hAnsi="Arial" w:cs="Arial"/>
          <w:sz w:val="18"/>
          <w:szCs w:val="18"/>
        </w:rPr>
      </w:pPr>
      <w:r w:rsidRPr="00E80DCD">
        <w:rPr>
          <w:rFonts w:ascii="Arial" w:hAnsi="Arial" w:cs="Arial"/>
          <w:sz w:val="18"/>
          <w:szCs w:val="18"/>
        </w:rPr>
        <w:t xml:space="preserve">To the maximum extend allowed by applicable law, </w:t>
      </w:r>
      <w:r w:rsidR="00A55CA6">
        <w:rPr>
          <w:rFonts w:ascii="Arial" w:hAnsi="Arial" w:cs="Arial"/>
          <w:sz w:val="18"/>
          <w:szCs w:val="18"/>
        </w:rPr>
        <w:t>Tektronix</w:t>
      </w:r>
      <w:r w:rsidRPr="00E80DCD">
        <w:rPr>
          <w:rFonts w:ascii="Arial" w:hAnsi="Arial" w:cs="Arial"/>
          <w:sz w:val="18"/>
          <w:szCs w:val="18"/>
        </w:rPr>
        <w:t xml:space="preserve"> </w:t>
      </w:r>
      <w:r w:rsidR="1672E064" w:rsidRPr="00E80DCD">
        <w:rPr>
          <w:rFonts w:ascii="Arial" w:hAnsi="Arial" w:cs="Arial"/>
          <w:sz w:val="18"/>
          <w:szCs w:val="18"/>
        </w:rPr>
        <w:t>(</w:t>
      </w:r>
      <w:r w:rsidR="004613E5">
        <w:rPr>
          <w:rFonts w:ascii="Arial" w:hAnsi="Arial" w:cs="Arial"/>
          <w:sz w:val="18"/>
          <w:szCs w:val="18"/>
        </w:rPr>
        <w:t>i</w:t>
      </w:r>
      <w:r w:rsidR="1672E064" w:rsidRPr="00E80DCD">
        <w:rPr>
          <w:rFonts w:ascii="Arial" w:hAnsi="Arial" w:cs="Arial"/>
          <w:sz w:val="18"/>
          <w:szCs w:val="18"/>
        </w:rPr>
        <w:t xml:space="preserve">) </w:t>
      </w:r>
      <w:r w:rsidRPr="00E80DCD">
        <w:rPr>
          <w:rFonts w:ascii="Arial" w:hAnsi="Arial" w:cs="Arial"/>
          <w:sz w:val="18"/>
          <w:szCs w:val="18"/>
        </w:rPr>
        <w:t xml:space="preserve">shall </w:t>
      </w:r>
      <w:r w:rsidR="57E0A16C" w:rsidRPr="00E80DCD">
        <w:rPr>
          <w:rFonts w:ascii="Arial" w:hAnsi="Arial" w:cs="Arial"/>
          <w:sz w:val="18"/>
          <w:szCs w:val="18"/>
        </w:rPr>
        <w:t>not</w:t>
      </w:r>
      <w:r w:rsidRPr="00E80DCD">
        <w:rPr>
          <w:rFonts w:ascii="Arial" w:hAnsi="Arial" w:cs="Arial"/>
          <w:sz w:val="18"/>
          <w:szCs w:val="18"/>
        </w:rPr>
        <w:t xml:space="preserve"> be liable  for losses or damage of any kind, solely by reason of the expiration, termination or non-renewal of </w:t>
      </w:r>
      <w:r w:rsidR="00616A8D">
        <w:rPr>
          <w:rFonts w:ascii="Arial" w:hAnsi="Arial" w:cs="Arial"/>
          <w:sz w:val="18"/>
          <w:szCs w:val="18"/>
        </w:rPr>
        <w:t>this</w:t>
      </w:r>
      <w:r w:rsidR="004710FA" w:rsidRPr="00E80DCD">
        <w:rPr>
          <w:rFonts w:ascii="Arial" w:hAnsi="Arial" w:cs="Arial"/>
          <w:sz w:val="18"/>
          <w:szCs w:val="18"/>
        </w:rPr>
        <w:t xml:space="preserve"> </w:t>
      </w:r>
      <w:r w:rsidRPr="00E80DCD">
        <w:rPr>
          <w:rFonts w:ascii="Arial" w:hAnsi="Arial" w:cs="Arial"/>
          <w:sz w:val="18"/>
          <w:szCs w:val="18"/>
        </w:rPr>
        <w:t>Agreement or any Supplement</w:t>
      </w:r>
      <w:r w:rsidR="6FE2EEBA" w:rsidRPr="00E80DCD">
        <w:rPr>
          <w:rFonts w:ascii="Arial" w:hAnsi="Arial" w:cs="Arial"/>
          <w:sz w:val="18"/>
          <w:szCs w:val="18"/>
        </w:rPr>
        <w:t xml:space="preserve">, and (ii) </w:t>
      </w:r>
      <w:r w:rsidR="6FC9C7A9" w:rsidRPr="00E80DCD">
        <w:rPr>
          <w:rFonts w:ascii="Arial" w:hAnsi="Arial" w:cs="Arial"/>
          <w:sz w:val="18"/>
          <w:szCs w:val="18"/>
        </w:rPr>
        <w:lastRenderedPageBreak/>
        <w:t>the Partner</w:t>
      </w:r>
      <w:r w:rsidRPr="00E80DCD">
        <w:rPr>
          <w:rFonts w:ascii="Arial" w:hAnsi="Arial" w:cs="Arial"/>
          <w:sz w:val="18"/>
          <w:szCs w:val="18"/>
        </w:rPr>
        <w:t xml:space="preserve"> shall </w:t>
      </w:r>
      <w:r w:rsidR="352A0658" w:rsidRPr="00E80DCD">
        <w:rPr>
          <w:rFonts w:ascii="Arial" w:hAnsi="Arial" w:cs="Arial"/>
          <w:sz w:val="18"/>
          <w:szCs w:val="18"/>
        </w:rPr>
        <w:t xml:space="preserve">not </w:t>
      </w:r>
      <w:r w:rsidRPr="00E80DCD">
        <w:rPr>
          <w:rFonts w:ascii="Arial" w:hAnsi="Arial" w:cs="Arial"/>
          <w:sz w:val="18"/>
          <w:szCs w:val="18"/>
        </w:rPr>
        <w:t xml:space="preserve">make any claim against </w:t>
      </w:r>
      <w:r w:rsidR="00A55CA6">
        <w:rPr>
          <w:rFonts w:ascii="Arial" w:hAnsi="Arial" w:cs="Arial"/>
          <w:sz w:val="18"/>
          <w:szCs w:val="18"/>
        </w:rPr>
        <w:t>Tektronix</w:t>
      </w:r>
      <w:r w:rsidRPr="00E80DCD">
        <w:rPr>
          <w:rFonts w:ascii="Arial" w:hAnsi="Arial" w:cs="Arial"/>
          <w:sz w:val="18"/>
          <w:szCs w:val="18"/>
        </w:rPr>
        <w:t xml:space="preserve"> for loss of compensation or profits, or for loss of prospective compensation or prospective profits, in respect of any sales contemplated or on account of any expenditures, investments or commitments made by </w:t>
      </w:r>
      <w:r w:rsidR="00A55CA6">
        <w:rPr>
          <w:rFonts w:ascii="Arial" w:hAnsi="Arial" w:cs="Arial"/>
          <w:sz w:val="18"/>
          <w:szCs w:val="18"/>
        </w:rPr>
        <w:t>Tektronix</w:t>
      </w:r>
      <w:r w:rsidRPr="00E80DCD">
        <w:rPr>
          <w:rFonts w:ascii="Arial" w:hAnsi="Arial" w:cs="Arial"/>
          <w:sz w:val="18"/>
          <w:szCs w:val="18"/>
        </w:rPr>
        <w:t xml:space="preserve"> in reliance upon </w:t>
      </w:r>
      <w:r w:rsidR="00616A8D">
        <w:rPr>
          <w:rFonts w:ascii="Arial" w:hAnsi="Arial" w:cs="Arial"/>
          <w:sz w:val="18"/>
          <w:szCs w:val="18"/>
        </w:rPr>
        <w:t>this</w:t>
      </w:r>
      <w:r w:rsidR="004710FA" w:rsidRPr="00E80DCD">
        <w:rPr>
          <w:rFonts w:ascii="Arial" w:hAnsi="Arial" w:cs="Arial"/>
          <w:sz w:val="18"/>
          <w:szCs w:val="18"/>
        </w:rPr>
        <w:t xml:space="preserve"> </w:t>
      </w:r>
      <w:r w:rsidRPr="00E80DCD">
        <w:rPr>
          <w:rFonts w:ascii="Arial" w:hAnsi="Arial" w:cs="Arial"/>
          <w:sz w:val="18"/>
          <w:szCs w:val="18"/>
        </w:rPr>
        <w:t>Agreement or any Supplement.</w:t>
      </w:r>
    </w:p>
    <w:p w14:paraId="3220074E" w14:textId="29684744" w:rsidR="00EE2017" w:rsidRPr="00580465" w:rsidRDefault="00EE2017" w:rsidP="00580465">
      <w:pPr>
        <w:pStyle w:val="ListParagraph"/>
        <w:numPr>
          <w:ilvl w:val="0"/>
          <w:numId w:val="16"/>
        </w:numPr>
        <w:tabs>
          <w:tab w:val="left" w:pos="360"/>
        </w:tabs>
        <w:spacing w:before="120"/>
        <w:contextualSpacing w:val="0"/>
        <w:jc w:val="both"/>
        <w:rPr>
          <w:rFonts w:ascii="Arial" w:hAnsi="Arial" w:cs="Arial"/>
          <w:sz w:val="18"/>
          <w:szCs w:val="18"/>
        </w:rPr>
      </w:pPr>
      <w:r w:rsidRPr="00580465">
        <w:rPr>
          <w:rFonts w:ascii="Arial" w:hAnsi="Arial" w:cs="Arial"/>
          <w:b/>
          <w:bCs/>
          <w:sz w:val="18"/>
          <w:szCs w:val="18"/>
        </w:rPr>
        <w:t xml:space="preserve">Electronic Communications. </w:t>
      </w:r>
      <w:r w:rsidRPr="00580465">
        <w:rPr>
          <w:rFonts w:ascii="Arial" w:hAnsi="Arial" w:cs="Arial"/>
          <w:sz w:val="18"/>
          <w:szCs w:val="18"/>
        </w:rPr>
        <w:t xml:space="preserve">All agreement amendments, agreement renewals, notices, and other related communications under or relating to this </w:t>
      </w:r>
      <w:r w:rsidR="00C836DC" w:rsidRPr="00580465">
        <w:rPr>
          <w:rFonts w:ascii="Arial" w:hAnsi="Arial" w:cs="Arial"/>
          <w:sz w:val="18"/>
          <w:szCs w:val="18"/>
        </w:rPr>
        <w:t xml:space="preserve">Partner </w:t>
      </w:r>
      <w:r w:rsidRPr="00580465">
        <w:rPr>
          <w:rFonts w:ascii="Arial" w:hAnsi="Arial" w:cs="Arial"/>
          <w:sz w:val="18"/>
          <w:szCs w:val="18"/>
        </w:rPr>
        <w:t xml:space="preserve">Agreement may be created and/or given with equal legal effect either in paper form or electronically.  </w:t>
      </w:r>
      <w:proofErr w:type="gramStart"/>
      <w:r w:rsidRPr="00580465">
        <w:rPr>
          <w:rFonts w:ascii="Arial" w:hAnsi="Arial" w:cs="Arial"/>
          <w:sz w:val="18"/>
          <w:szCs w:val="18"/>
        </w:rPr>
        <w:t>An electronic</w:t>
      </w:r>
      <w:proofErr w:type="gramEnd"/>
      <w:r w:rsidRPr="00580465">
        <w:rPr>
          <w:rFonts w:ascii="Arial" w:hAnsi="Arial" w:cs="Arial"/>
          <w:sz w:val="18"/>
          <w:szCs w:val="18"/>
        </w:rPr>
        <w:t xml:space="preserve"> communication shall include, without limitation, a fax or an e-mail or an attachment to an e-mail.  The parties agree that any such notices or other communications, from an authorized representative of the party </w:t>
      </w:r>
      <w:r w:rsidR="00162FCC" w:rsidRPr="00580465">
        <w:rPr>
          <w:rFonts w:ascii="Arial" w:hAnsi="Arial" w:cs="Arial"/>
          <w:sz w:val="18"/>
          <w:szCs w:val="18"/>
        </w:rPr>
        <w:t>concerned, shall constitute a “</w:t>
      </w:r>
      <w:r w:rsidR="005B22D8" w:rsidRPr="00580465">
        <w:rPr>
          <w:rFonts w:ascii="Arial" w:hAnsi="Arial" w:cs="Arial"/>
          <w:sz w:val="18"/>
          <w:szCs w:val="18"/>
        </w:rPr>
        <w:t>w</w:t>
      </w:r>
      <w:r w:rsidRPr="00580465">
        <w:rPr>
          <w:rFonts w:ascii="Arial" w:hAnsi="Arial" w:cs="Arial"/>
          <w:sz w:val="18"/>
          <w:szCs w:val="18"/>
        </w:rPr>
        <w:t>riting” and shall be considered “signed” by the party originating same.  Any agreement amendments or agreement renewals requiring the signature of both parties shall be effective, if signed by authorized representatives of both parties, upon receipt of the counterpart or counter-signed document.  All electronic communications properly addressed are deemed to be given upon transmission unless the sending party receives notification at the time of transmission that the transmission has been unsuccessful.</w:t>
      </w:r>
    </w:p>
    <w:p w14:paraId="1A790511" w14:textId="316E6CB8" w:rsidR="004D1CE1" w:rsidRPr="00CB00FE" w:rsidRDefault="00B010D1" w:rsidP="00580465">
      <w:pPr>
        <w:pStyle w:val="ListParagraph"/>
        <w:numPr>
          <w:ilvl w:val="0"/>
          <w:numId w:val="16"/>
        </w:numPr>
        <w:tabs>
          <w:tab w:val="left" w:pos="360"/>
        </w:tabs>
        <w:spacing w:before="120"/>
        <w:contextualSpacing w:val="0"/>
        <w:jc w:val="both"/>
        <w:rPr>
          <w:rFonts w:ascii="Arial" w:hAnsi="Arial" w:cs="Arial"/>
          <w:sz w:val="18"/>
          <w:szCs w:val="18"/>
        </w:rPr>
      </w:pPr>
      <w:r w:rsidRPr="00580465">
        <w:rPr>
          <w:rFonts w:ascii="Arial" w:hAnsi="Arial" w:cs="Arial"/>
          <w:b/>
          <w:bCs/>
          <w:sz w:val="18"/>
          <w:szCs w:val="18"/>
        </w:rPr>
        <w:t>Assignment</w:t>
      </w:r>
      <w:r w:rsidR="00EE2017" w:rsidRPr="00CB00FE">
        <w:rPr>
          <w:rFonts w:ascii="Arial" w:hAnsi="Arial" w:cs="Arial"/>
          <w:b/>
          <w:bCs/>
          <w:sz w:val="18"/>
          <w:szCs w:val="18"/>
        </w:rPr>
        <w:t>.</w:t>
      </w:r>
      <w:r w:rsidR="00EE2017" w:rsidRPr="00CB00FE">
        <w:rPr>
          <w:rFonts w:ascii="Arial" w:hAnsi="Arial" w:cs="Arial"/>
          <w:sz w:val="18"/>
          <w:szCs w:val="18"/>
        </w:rPr>
        <w:t xml:space="preserve">  </w:t>
      </w:r>
      <w:r w:rsidR="0073573B" w:rsidRPr="00CB00FE">
        <w:rPr>
          <w:rFonts w:ascii="Arial" w:hAnsi="Arial" w:cs="Arial"/>
          <w:sz w:val="18"/>
          <w:szCs w:val="18"/>
        </w:rPr>
        <w:t>Partner</w:t>
      </w:r>
      <w:r w:rsidR="00EE2017" w:rsidRPr="00CB00FE">
        <w:rPr>
          <w:rFonts w:ascii="Arial" w:hAnsi="Arial" w:cs="Arial"/>
          <w:sz w:val="18"/>
          <w:szCs w:val="18"/>
        </w:rPr>
        <w:t xml:space="preserve"> may not assign this</w:t>
      </w:r>
      <w:r w:rsidR="00C836DC" w:rsidRPr="00CB00FE">
        <w:rPr>
          <w:rFonts w:ascii="Arial" w:hAnsi="Arial" w:cs="Arial"/>
          <w:sz w:val="18"/>
          <w:szCs w:val="18"/>
        </w:rPr>
        <w:t xml:space="preserve"> Partner</w:t>
      </w:r>
      <w:r w:rsidR="00EE2017" w:rsidRPr="00CB00FE">
        <w:rPr>
          <w:rFonts w:ascii="Arial" w:hAnsi="Arial" w:cs="Arial"/>
          <w:sz w:val="18"/>
          <w:szCs w:val="18"/>
        </w:rPr>
        <w:t xml:space="preserve"> Agreement or any Supplement without the prior written consent of </w:t>
      </w:r>
      <w:r w:rsidR="00A55CA6">
        <w:rPr>
          <w:rFonts w:ascii="Arial" w:hAnsi="Arial" w:cs="Arial"/>
          <w:sz w:val="18"/>
          <w:szCs w:val="18"/>
        </w:rPr>
        <w:t>Tektronix</w:t>
      </w:r>
      <w:r w:rsidRPr="00CB00FE">
        <w:rPr>
          <w:rFonts w:ascii="Arial" w:hAnsi="Arial" w:cs="Arial"/>
          <w:sz w:val="18"/>
          <w:szCs w:val="18"/>
        </w:rPr>
        <w:t xml:space="preserve">, which may be withheld in </w:t>
      </w:r>
      <w:r w:rsidR="00A55CA6">
        <w:rPr>
          <w:rFonts w:ascii="Arial" w:hAnsi="Arial" w:cs="Arial"/>
          <w:sz w:val="18"/>
          <w:szCs w:val="18"/>
        </w:rPr>
        <w:t>Tektronix</w:t>
      </w:r>
      <w:r w:rsidRPr="00CB00FE">
        <w:rPr>
          <w:rFonts w:ascii="Arial" w:hAnsi="Arial" w:cs="Arial"/>
          <w:sz w:val="18"/>
          <w:szCs w:val="18"/>
        </w:rPr>
        <w:t>’</w:t>
      </w:r>
      <w:r w:rsidR="00377861" w:rsidRPr="00CB00FE">
        <w:rPr>
          <w:rFonts w:ascii="Arial" w:hAnsi="Arial" w:cs="Arial"/>
          <w:sz w:val="18"/>
          <w:szCs w:val="18"/>
        </w:rPr>
        <w:t>s</w:t>
      </w:r>
      <w:r w:rsidRPr="00CB00FE">
        <w:rPr>
          <w:rFonts w:ascii="Arial" w:hAnsi="Arial" w:cs="Arial"/>
          <w:sz w:val="18"/>
          <w:szCs w:val="18"/>
        </w:rPr>
        <w:t xml:space="preserve"> sole and absolute discretion. Any assignment made by Partner without a prior written consent of </w:t>
      </w:r>
      <w:r w:rsidR="00A55CA6">
        <w:rPr>
          <w:rFonts w:ascii="Arial" w:hAnsi="Arial" w:cs="Arial"/>
          <w:sz w:val="18"/>
          <w:szCs w:val="18"/>
        </w:rPr>
        <w:t>Tektronix</w:t>
      </w:r>
      <w:r w:rsidRPr="00CB00FE">
        <w:rPr>
          <w:rFonts w:ascii="Arial" w:hAnsi="Arial" w:cs="Arial"/>
          <w:sz w:val="18"/>
          <w:szCs w:val="18"/>
        </w:rPr>
        <w:t xml:space="preserve"> shall be void and constitute a material breach, which shall entitle </w:t>
      </w:r>
      <w:r w:rsidR="00A55CA6">
        <w:rPr>
          <w:rFonts w:ascii="Arial" w:hAnsi="Arial" w:cs="Arial"/>
          <w:sz w:val="18"/>
          <w:szCs w:val="18"/>
        </w:rPr>
        <w:t>Tektronix</w:t>
      </w:r>
      <w:r w:rsidRPr="00CB00FE">
        <w:rPr>
          <w:rFonts w:ascii="Arial" w:hAnsi="Arial" w:cs="Arial"/>
          <w:sz w:val="18"/>
          <w:szCs w:val="18"/>
        </w:rPr>
        <w:t xml:space="preserve"> to immediate termination of the </w:t>
      </w:r>
      <w:r w:rsidR="00C836DC" w:rsidRPr="00CB00FE">
        <w:rPr>
          <w:rFonts w:ascii="Arial" w:hAnsi="Arial" w:cs="Arial"/>
          <w:sz w:val="18"/>
          <w:szCs w:val="18"/>
        </w:rPr>
        <w:t>Partner Agreement</w:t>
      </w:r>
      <w:r w:rsidRPr="00CB00FE">
        <w:rPr>
          <w:rFonts w:ascii="Arial" w:hAnsi="Arial" w:cs="Arial"/>
          <w:sz w:val="18"/>
          <w:szCs w:val="18"/>
        </w:rPr>
        <w:t xml:space="preserve"> or the Supplement, as relevant.</w:t>
      </w:r>
      <w:r w:rsidR="00EE2017" w:rsidRPr="00CB00FE">
        <w:rPr>
          <w:rFonts w:ascii="Arial" w:hAnsi="Arial" w:cs="Arial"/>
          <w:sz w:val="18"/>
          <w:szCs w:val="18"/>
        </w:rPr>
        <w:t xml:space="preserve">  </w:t>
      </w:r>
    </w:p>
    <w:p w14:paraId="2149B4BB" w14:textId="744D932D" w:rsidR="004D1CE1" w:rsidRPr="00580465" w:rsidRDefault="68593027" w:rsidP="00580465">
      <w:pPr>
        <w:pStyle w:val="ListParagraph"/>
        <w:numPr>
          <w:ilvl w:val="0"/>
          <w:numId w:val="16"/>
        </w:numPr>
        <w:tabs>
          <w:tab w:val="left" w:pos="5040"/>
          <w:tab w:val="left" w:pos="6300"/>
        </w:tabs>
        <w:spacing w:before="120"/>
        <w:contextualSpacing w:val="0"/>
        <w:jc w:val="both"/>
        <w:rPr>
          <w:rFonts w:ascii="Arial" w:hAnsi="Arial" w:cs="Arial"/>
          <w:sz w:val="18"/>
          <w:szCs w:val="18"/>
        </w:rPr>
      </w:pPr>
      <w:r w:rsidRPr="00580465">
        <w:rPr>
          <w:rFonts w:ascii="Arial" w:hAnsi="Arial" w:cs="Arial"/>
          <w:b/>
          <w:bCs/>
          <w:sz w:val="18"/>
          <w:szCs w:val="18"/>
        </w:rPr>
        <w:t>Governing Law. Disputes.</w:t>
      </w:r>
      <w:r w:rsidRPr="00580465">
        <w:rPr>
          <w:rFonts w:ascii="Arial" w:hAnsi="Arial" w:cs="Arial"/>
          <w:sz w:val="18"/>
          <w:szCs w:val="18"/>
        </w:rPr>
        <w:t xml:space="preserve"> T</w:t>
      </w:r>
      <w:r w:rsidRPr="00580465">
        <w:rPr>
          <w:rFonts w:ascii="Arial" w:eastAsia="Arial" w:hAnsi="Arial" w:cs="Arial"/>
          <w:sz w:val="18"/>
          <w:szCs w:val="18"/>
        </w:rPr>
        <w:t xml:space="preserve">he rights and obligations of the parties shall be governed by and construed in accordance with the laws of the jurisdiction where the </w:t>
      </w:r>
      <w:r w:rsidR="00A55CA6">
        <w:rPr>
          <w:rFonts w:ascii="Arial" w:eastAsia="Arial" w:hAnsi="Arial" w:cs="Arial"/>
          <w:sz w:val="18"/>
          <w:szCs w:val="18"/>
        </w:rPr>
        <w:t>Tektronix</w:t>
      </w:r>
      <w:r w:rsidRPr="00580465">
        <w:rPr>
          <w:rFonts w:ascii="Arial" w:eastAsia="Arial" w:hAnsi="Arial" w:cs="Arial"/>
          <w:sz w:val="18"/>
          <w:szCs w:val="18"/>
        </w:rPr>
        <w:t xml:space="preserve"> selling entity is incorporated without giving effect to its principles of conflict of laws, and exclusive venue shall be in the courts of said jurisdiction. The United Nations Convention on Contracts for the International Sale of Goods does not apply to this Agreement.</w:t>
      </w:r>
    </w:p>
    <w:p w14:paraId="0FA5C982" w14:textId="6579CE8E" w:rsidR="004D1CE1" w:rsidRPr="00580465" w:rsidRDefault="004D1CE1" w:rsidP="00580465">
      <w:pPr>
        <w:pStyle w:val="ListParagraph"/>
        <w:numPr>
          <w:ilvl w:val="0"/>
          <w:numId w:val="16"/>
        </w:numPr>
        <w:tabs>
          <w:tab w:val="left" w:pos="360"/>
        </w:tabs>
        <w:spacing w:before="120"/>
        <w:contextualSpacing w:val="0"/>
        <w:jc w:val="both"/>
        <w:rPr>
          <w:rFonts w:ascii="Arial" w:hAnsi="Arial" w:cs="Arial"/>
          <w:sz w:val="18"/>
          <w:szCs w:val="18"/>
        </w:rPr>
      </w:pPr>
      <w:r w:rsidRPr="00580465">
        <w:rPr>
          <w:rFonts w:ascii="Arial" w:hAnsi="Arial" w:cs="Arial"/>
          <w:b/>
          <w:bCs/>
          <w:sz w:val="18"/>
          <w:szCs w:val="18"/>
        </w:rPr>
        <w:t>Waiver.</w:t>
      </w:r>
      <w:r w:rsidRPr="00580465">
        <w:rPr>
          <w:rFonts w:ascii="Arial" w:hAnsi="Arial" w:cs="Arial"/>
          <w:sz w:val="18"/>
          <w:szCs w:val="18"/>
        </w:rPr>
        <w:t xml:space="preserve"> The failure of either party to enforce at any time any provision of these terms and conditions will not be construed as a waiver of such </w:t>
      </w:r>
      <w:proofErr w:type="gramStart"/>
      <w:r w:rsidRPr="00580465">
        <w:rPr>
          <w:rFonts w:ascii="Arial" w:hAnsi="Arial" w:cs="Arial"/>
          <w:sz w:val="18"/>
          <w:szCs w:val="18"/>
        </w:rPr>
        <w:t>provision</w:t>
      </w:r>
      <w:proofErr w:type="gramEnd"/>
      <w:r w:rsidRPr="00580465">
        <w:rPr>
          <w:rFonts w:ascii="Arial" w:hAnsi="Arial" w:cs="Arial"/>
          <w:sz w:val="18"/>
          <w:szCs w:val="18"/>
        </w:rPr>
        <w:t xml:space="preserve"> or the right to subsequently enforce </w:t>
      </w:r>
      <w:proofErr w:type="gramStart"/>
      <w:r w:rsidRPr="00580465">
        <w:rPr>
          <w:rFonts w:ascii="Arial" w:hAnsi="Arial" w:cs="Arial"/>
          <w:sz w:val="18"/>
          <w:szCs w:val="18"/>
        </w:rPr>
        <w:t>each and every</w:t>
      </w:r>
      <w:proofErr w:type="gramEnd"/>
      <w:r w:rsidRPr="00580465">
        <w:rPr>
          <w:rFonts w:ascii="Arial" w:hAnsi="Arial" w:cs="Arial"/>
          <w:sz w:val="18"/>
          <w:szCs w:val="18"/>
        </w:rPr>
        <w:t xml:space="preserve"> provision.  No waiver by either party, either express or implied, of any other breach of any of these terms and conditions will be construed as a waiver of any other breach of such term or condition.</w:t>
      </w:r>
    </w:p>
    <w:p w14:paraId="663031FA" w14:textId="21E3C98B" w:rsidR="004D1CE1" w:rsidRPr="00580465" w:rsidRDefault="004D1CE1" w:rsidP="00580465">
      <w:pPr>
        <w:pStyle w:val="ListParagraph"/>
        <w:numPr>
          <w:ilvl w:val="0"/>
          <w:numId w:val="16"/>
        </w:numPr>
        <w:tabs>
          <w:tab w:val="left" w:pos="360"/>
        </w:tabs>
        <w:spacing w:before="120"/>
        <w:contextualSpacing w:val="0"/>
        <w:jc w:val="both"/>
        <w:rPr>
          <w:rFonts w:ascii="Arial" w:hAnsi="Arial" w:cs="Arial"/>
          <w:sz w:val="18"/>
          <w:szCs w:val="18"/>
        </w:rPr>
      </w:pPr>
      <w:r w:rsidRPr="00580465">
        <w:rPr>
          <w:rFonts w:ascii="Arial" w:hAnsi="Arial" w:cs="Arial"/>
          <w:b/>
          <w:bCs/>
          <w:sz w:val="18"/>
          <w:szCs w:val="18"/>
        </w:rPr>
        <w:t xml:space="preserve">Severability. </w:t>
      </w:r>
      <w:r w:rsidRPr="00580465">
        <w:rPr>
          <w:rFonts w:ascii="Arial" w:hAnsi="Arial" w:cs="Arial"/>
          <w:sz w:val="18"/>
          <w:szCs w:val="18"/>
        </w:rPr>
        <w:t xml:space="preserve">If any term or provision </w:t>
      </w:r>
      <w:r w:rsidR="00C836DC" w:rsidRPr="00580465">
        <w:rPr>
          <w:rFonts w:ascii="Arial" w:hAnsi="Arial" w:cs="Arial"/>
          <w:sz w:val="18"/>
          <w:szCs w:val="18"/>
        </w:rPr>
        <w:t>herein</w:t>
      </w:r>
      <w:r w:rsidRPr="00580465">
        <w:rPr>
          <w:rFonts w:ascii="Arial" w:hAnsi="Arial" w:cs="Arial"/>
          <w:sz w:val="18"/>
          <w:szCs w:val="18"/>
        </w:rPr>
        <w:t xml:space="preserve"> is invalid, illegal or unenforceable in any jurisdiction, such invalidity, illegality or unenforceability will not affect any other term or provision </w:t>
      </w:r>
      <w:r w:rsidR="00C836DC" w:rsidRPr="00580465">
        <w:rPr>
          <w:rFonts w:ascii="Arial" w:hAnsi="Arial" w:cs="Arial"/>
          <w:sz w:val="18"/>
          <w:szCs w:val="18"/>
        </w:rPr>
        <w:t>herein</w:t>
      </w:r>
      <w:r w:rsidRPr="00580465">
        <w:rPr>
          <w:rFonts w:ascii="Arial" w:hAnsi="Arial" w:cs="Arial"/>
          <w:sz w:val="18"/>
          <w:szCs w:val="18"/>
        </w:rPr>
        <w:t xml:space="preserve"> or invalidate or render unenforceable such term or provision in any other jurisdiction.</w:t>
      </w:r>
    </w:p>
    <w:p w14:paraId="0A2E2F90" w14:textId="0E8FDF3E" w:rsidR="00EE2017" w:rsidRPr="00580465" w:rsidRDefault="004D1CE1" w:rsidP="00580465">
      <w:pPr>
        <w:pStyle w:val="ListParagraph"/>
        <w:numPr>
          <w:ilvl w:val="0"/>
          <w:numId w:val="16"/>
        </w:numPr>
        <w:tabs>
          <w:tab w:val="left" w:pos="360"/>
        </w:tabs>
        <w:spacing w:before="120"/>
        <w:contextualSpacing w:val="0"/>
        <w:jc w:val="both"/>
        <w:rPr>
          <w:rFonts w:ascii="Arial" w:hAnsi="Arial" w:cs="Arial"/>
          <w:sz w:val="18"/>
          <w:szCs w:val="18"/>
        </w:rPr>
      </w:pPr>
      <w:r w:rsidRPr="00580465">
        <w:rPr>
          <w:rFonts w:ascii="Arial" w:hAnsi="Arial" w:cs="Arial"/>
          <w:b/>
          <w:bCs/>
          <w:sz w:val="18"/>
          <w:szCs w:val="18"/>
        </w:rPr>
        <w:t xml:space="preserve">Survival. </w:t>
      </w:r>
      <w:r w:rsidRPr="00580465">
        <w:rPr>
          <w:rFonts w:ascii="Arial" w:hAnsi="Arial" w:cs="Arial"/>
          <w:sz w:val="18"/>
          <w:szCs w:val="18"/>
        </w:rPr>
        <w:t xml:space="preserve">The provisions </w:t>
      </w:r>
      <w:r w:rsidR="00C836DC" w:rsidRPr="00580465">
        <w:rPr>
          <w:rFonts w:ascii="Arial" w:hAnsi="Arial" w:cs="Arial"/>
          <w:sz w:val="18"/>
          <w:szCs w:val="18"/>
        </w:rPr>
        <w:t>herein</w:t>
      </w:r>
      <w:r w:rsidRPr="00580465">
        <w:rPr>
          <w:rFonts w:ascii="Arial" w:hAnsi="Arial" w:cs="Arial"/>
          <w:sz w:val="18"/>
          <w:szCs w:val="18"/>
        </w:rPr>
        <w:t xml:space="preserve"> that by their nature continue, will survive any expiration, cancelation, or termination</w:t>
      </w:r>
      <w:r w:rsidR="00C836DC" w:rsidRPr="00580465">
        <w:rPr>
          <w:rFonts w:ascii="Arial" w:hAnsi="Arial" w:cs="Arial"/>
          <w:sz w:val="18"/>
          <w:szCs w:val="18"/>
        </w:rPr>
        <w:t>.</w:t>
      </w:r>
      <w:r w:rsidR="00EE2017" w:rsidRPr="00580465">
        <w:rPr>
          <w:rFonts w:ascii="Arial" w:hAnsi="Arial" w:cs="Arial"/>
          <w:sz w:val="18"/>
          <w:szCs w:val="18"/>
        </w:rPr>
        <w:t xml:space="preserve"> </w:t>
      </w:r>
    </w:p>
    <w:p w14:paraId="28E35433" w14:textId="319C04DA" w:rsidR="00EE2017" w:rsidRPr="00580465" w:rsidRDefault="00EE2017" w:rsidP="00580465">
      <w:pPr>
        <w:pStyle w:val="ListParagraph"/>
        <w:numPr>
          <w:ilvl w:val="0"/>
          <w:numId w:val="16"/>
        </w:numPr>
        <w:tabs>
          <w:tab w:val="left" w:pos="5040"/>
          <w:tab w:val="left" w:pos="6300"/>
        </w:tabs>
        <w:spacing w:before="120"/>
        <w:contextualSpacing w:val="0"/>
        <w:jc w:val="both"/>
        <w:rPr>
          <w:rFonts w:ascii="Arial" w:hAnsi="Arial" w:cs="Arial"/>
          <w:sz w:val="18"/>
          <w:szCs w:val="18"/>
        </w:rPr>
      </w:pPr>
      <w:r w:rsidRPr="00580465">
        <w:rPr>
          <w:rFonts w:ascii="Arial" w:hAnsi="Arial" w:cs="Arial"/>
          <w:b/>
          <w:bCs/>
          <w:sz w:val="18"/>
          <w:szCs w:val="18"/>
        </w:rPr>
        <w:t>Entire Agreement, Order of Precedence.</w:t>
      </w:r>
      <w:r w:rsidRPr="00580465">
        <w:rPr>
          <w:rFonts w:ascii="Arial" w:hAnsi="Arial" w:cs="Arial"/>
          <w:sz w:val="18"/>
          <w:szCs w:val="18"/>
        </w:rPr>
        <w:t xml:space="preserve">  </w:t>
      </w:r>
      <w:r w:rsidR="001376E1" w:rsidRPr="00580465">
        <w:rPr>
          <w:rFonts w:ascii="Arial" w:hAnsi="Arial" w:cs="Arial"/>
          <w:sz w:val="18"/>
          <w:szCs w:val="18"/>
        </w:rPr>
        <w:t>The entirety of this Partner</w:t>
      </w:r>
      <w:r w:rsidRPr="00580465">
        <w:rPr>
          <w:rFonts w:ascii="Arial" w:hAnsi="Arial" w:cs="Arial"/>
          <w:sz w:val="18"/>
          <w:szCs w:val="18"/>
        </w:rPr>
        <w:t xml:space="preserve"> Agreement</w:t>
      </w:r>
      <w:r w:rsidR="001376E1" w:rsidRPr="00580465">
        <w:rPr>
          <w:rFonts w:ascii="Arial" w:hAnsi="Arial" w:cs="Arial"/>
          <w:sz w:val="18"/>
          <w:szCs w:val="18"/>
        </w:rPr>
        <w:t xml:space="preserve"> shall</w:t>
      </w:r>
      <w:r w:rsidRPr="00580465">
        <w:rPr>
          <w:rFonts w:ascii="Arial" w:hAnsi="Arial" w:cs="Arial"/>
          <w:sz w:val="18"/>
          <w:szCs w:val="18"/>
        </w:rPr>
        <w:t xml:space="preserve"> include, in order of </w:t>
      </w:r>
      <w:r w:rsidR="00BD374A" w:rsidRPr="00580465">
        <w:rPr>
          <w:rFonts w:ascii="Arial" w:hAnsi="Arial" w:cs="Arial"/>
          <w:sz w:val="18"/>
          <w:szCs w:val="18"/>
        </w:rPr>
        <w:t>precedence</w:t>
      </w:r>
      <w:r w:rsidR="003F116A" w:rsidRPr="00580465">
        <w:rPr>
          <w:rFonts w:ascii="Arial" w:hAnsi="Arial" w:cs="Arial"/>
          <w:sz w:val="18"/>
          <w:szCs w:val="18"/>
        </w:rPr>
        <w:t>,</w:t>
      </w:r>
      <w:r w:rsidR="00BD374A" w:rsidRPr="00580465">
        <w:rPr>
          <w:rFonts w:ascii="Arial" w:hAnsi="Arial" w:cs="Arial"/>
          <w:sz w:val="18"/>
          <w:szCs w:val="18"/>
        </w:rPr>
        <w:t xml:space="preserve"> the</w:t>
      </w:r>
      <w:r w:rsidRPr="00580465">
        <w:rPr>
          <w:rFonts w:ascii="Arial" w:hAnsi="Arial" w:cs="Arial"/>
          <w:sz w:val="18"/>
          <w:szCs w:val="18"/>
        </w:rPr>
        <w:t xml:space="preserve"> attached and any successor Supplements,</w:t>
      </w:r>
      <w:r w:rsidR="00F05E80" w:rsidRPr="00580465">
        <w:rPr>
          <w:rFonts w:ascii="Arial" w:hAnsi="Arial" w:cs="Arial"/>
          <w:sz w:val="18"/>
          <w:szCs w:val="18"/>
        </w:rPr>
        <w:t xml:space="preserve"> these pages</w:t>
      </w:r>
      <w:r w:rsidR="001376E1" w:rsidRPr="00580465">
        <w:rPr>
          <w:rFonts w:ascii="Arial" w:hAnsi="Arial" w:cs="Arial"/>
          <w:sz w:val="18"/>
          <w:szCs w:val="18"/>
        </w:rPr>
        <w:t xml:space="preserve"> titled </w:t>
      </w:r>
      <w:r w:rsidR="00E7299C">
        <w:rPr>
          <w:rFonts w:ascii="Arial" w:hAnsi="Arial" w:cs="Arial"/>
          <w:sz w:val="18"/>
          <w:szCs w:val="18"/>
        </w:rPr>
        <w:t>Tektronix</w:t>
      </w:r>
      <w:r w:rsidR="001376E1" w:rsidRPr="00580465">
        <w:rPr>
          <w:rFonts w:ascii="Arial" w:hAnsi="Arial" w:cs="Arial"/>
          <w:sz w:val="18"/>
          <w:szCs w:val="18"/>
        </w:rPr>
        <w:t xml:space="preserve"> Partner Agreement</w:t>
      </w:r>
      <w:r w:rsidR="00F05E80" w:rsidRPr="00580465">
        <w:rPr>
          <w:rFonts w:ascii="Arial" w:hAnsi="Arial" w:cs="Arial"/>
          <w:sz w:val="18"/>
          <w:szCs w:val="18"/>
        </w:rPr>
        <w:t xml:space="preserve">, </w:t>
      </w:r>
      <w:r w:rsidR="002738E2" w:rsidRPr="00580465">
        <w:rPr>
          <w:rFonts w:ascii="Arial" w:hAnsi="Arial" w:cs="Arial"/>
          <w:sz w:val="18"/>
          <w:szCs w:val="18"/>
        </w:rPr>
        <w:t>the</w:t>
      </w:r>
      <w:r w:rsidR="001376E1" w:rsidRPr="00580465">
        <w:rPr>
          <w:rFonts w:ascii="Arial" w:hAnsi="Arial" w:cs="Arial"/>
          <w:sz w:val="18"/>
          <w:szCs w:val="18"/>
        </w:rPr>
        <w:t xml:space="preserve"> applicable</w:t>
      </w:r>
      <w:r w:rsidR="002738E2" w:rsidRPr="00580465">
        <w:rPr>
          <w:rFonts w:ascii="Arial" w:hAnsi="Arial" w:cs="Arial"/>
          <w:sz w:val="18"/>
          <w:szCs w:val="18"/>
        </w:rPr>
        <w:t xml:space="preserve"> </w:t>
      </w:r>
      <w:r w:rsidR="00A55CA6">
        <w:rPr>
          <w:rFonts w:ascii="Arial" w:hAnsi="Arial" w:cs="Arial"/>
          <w:sz w:val="18"/>
          <w:szCs w:val="18"/>
        </w:rPr>
        <w:t>Tektronix</w:t>
      </w:r>
      <w:r w:rsidR="00963597" w:rsidRPr="00580465">
        <w:rPr>
          <w:rFonts w:ascii="Arial" w:hAnsi="Arial" w:cs="Arial"/>
          <w:sz w:val="18"/>
          <w:szCs w:val="18"/>
        </w:rPr>
        <w:t xml:space="preserve"> Policy </w:t>
      </w:r>
      <w:r w:rsidR="006D3906" w:rsidRPr="00580465">
        <w:rPr>
          <w:rFonts w:ascii="Arial" w:hAnsi="Arial" w:cs="Arial"/>
          <w:sz w:val="18"/>
          <w:szCs w:val="18"/>
        </w:rPr>
        <w:t>and</w:t>
      </w:r>
      <w:r w:rsidR="00963597" w:rsidRPr="00580465">
        <w:rPr>
          <w:rFonts w:ascii="Arial" w:hAnsi="Arial" w:cs="Arial"/>
          <w:sz w:val="18"/>
          <w:szCs w:val="18"/>
        </w:rPr>
        <w:t xml:space="preserve"> </w:t>
      </w:r>
      <w:r w:rsidR="002738E2" w:rsidRPr="00580465">
        <w:rPr>
          <w:rFonts w:ascii="Arial" w:hAnsi="Arial" w:cs="Arial"/>
          <w:sz w:val="18"/>
          <w:szCs w:val="18"/>
        </w:rPr>
        <w:t xml:space="preserve">Procedure Manual </w:t>
      </w:r>
      <w:r w:rsidRPr="00580465">
        <w:rPr>
          <w:rFonts w:ascii="Arial" w:hAnsi="Arial" w:cs="Arial"/>
          <w:sz w:val="18"/>
          <w:szCs w:val="18"/>
        </w:rPr>
        <w:t xml:space="preserve">and the </w:t>
      </w:r>
      <w:proofErr w:type="gramStart"/>
      <w:r w:rsidR="00A55CA6">
        <w:rPr>
          <w:rFonts w:ascii="Arial" w:hAnsi="Arial" w:cs="Arial"/>
          <w:sz w:val="18"/>
          <w:szCs w:val="18"/>
        </w:rPr>
        <w:t>Tektronix</w:t>
      </w:r>
      <w:r w:rsidRPr="00580465">
        <w:rPr>
          <w:rFonts w:ascii="Arial" w:hAnsi="Arial" w:cs="Arial"/>
          <w:sz w:val="18"/>
          <w:szCs w:val="18"/>
        </w:rPr>
        <w:t xml:space="preserve"> </w:t>
      </w:r>
      <w:r w:rsidR="00280495" w:rsidRPr="00580465">
        <w:rPr>
          <w:rFonts w:ascii="Arial" w:hAnsi="Arial" w:cs="Arial"/>
          <w:sz w:val="18"/>
          <w:szCs w:val="18"/>
        </w:rPr>
        <w:t xml:space="preserve"> </w:t>
      </w:r>
      <w:r w:rsidRPr="00580465">
        <w:rPr>
          <w:rFonts w:ascii="Arial" w:hAnsi="Arial" w:cs="Arial"/>
          <w:sz w:val="18"/>
          <w:szCs w:val="18"/>
        </w:rPr>
        <w:t>Terms</w:t>
      </w:r>
      <w:proofErr w:type="gramEnd"/>
      <w:r w:rsidRPr="00580465">
        <w:rPr>
          <w:rFonts w:ascii="Arial" w:hAnsi="Arial" w:cs="Arial"/>
          <w:sz w:val="18"/>
          <w:szCs w:val="18"/>
        </w:rPr>
        <w:t xml:space="preserve"> and Conditions of Sale</w:t>
      </w:r>
      <w:r w:rsidR="001376E1" w:rsidRPr="00580465">
        <w:rPr>
          <w:rFonts w:ascii="Arial" w:hAnsi="Arial" w:cs="Arial"/>
          <w:sz w:val="18"/>
          <w:szCs w:val="18"/>
        </w:rPr>
        <w:t xml:space="preserve"> published </w:t>
      </w:r>
      <w:r w:rsidR="00E7299C">
        <w:rPr>
          <w:rFonts w:ascii="Arial" w:hAnsi="Arial" w:cs="Arial"/>
          <w:sz w:val="18"/>
          <w:szCs w:val="18"/>
        </w:rPr>
        <w:t xml:space="preserve">at </w:t>
      </w:r>
      <w:r w:rsidR="005E1542" w:rsidRPr="005E1542">
        <w:rPr>
          <w:rFonts w:ascii="Arial" w:hAnsi="Arial" w:cs="Arial"/>
          <w:sz w:val="18"/>
          <w:szCs w:val="18"/>
        </w:rPr>
        <w:t>https://www.tek.com/en/terms_and_conditions</w:t>
      </w:r>
      <w:r w:rsidR="00E7299C">
        <w:rPr>
          <w:rFonts w:ascii="Arial" w:hAnsi="Arial" w:cs="Arial"/>
          <w:sz w:val="18"/>
          <w:szCs w:val="18"/>
        </w:rPr>
        <w:t xml:space="preserve">, unless other </w:t>
      </w:r>
      <w:r w:rsidR="00616A8D">
        <w:rPr>
          <w:rFonts w:ascii="Arial" w:hAnsi="Arial" w:cs="Arial"/>
          <w:sz w:val="18"/>
          <w:szCs w:val="18"/>
        </w:rPr>
        <w:t>standard t</w:t>
      </w:r>
      <w:r w:rsidR="00E7299C">
        <w:rPr>
          <w:rFonts w:ascii="Arial" w:hAnsi="Arial" w:cs="Arial"/>
          <w:sz w:val="18"/>
          <w:szCs w:val="18"/>
        </w:rPr>
        <w:t xml:space="preserve">erms and </w:t>
      </w:r>
      <w:r w:rsidR="00616A8D">
        <w:rPr>
          <w:rFonts w:ascii="Arial" w:hAnsi="Arial" w:cs="Arial"/>
          <w:sz w:val="18"/>
          <w:szCs w:val="18"/>
        </w:rPr>
        <w:t>c</w:t>
      </w:r>
      <w:r w:rsidR="00E7299C">
        <w:rPr>
          <w:rFonts w:ascii="Arial" w:hAnsi="Arial" w:cs="Arial"/>
          <w:sz w:val="18"/>
          <w:szCs w:val="18"/>
        </w:rPr>
        <w:t xml:space="preserve">onditions of </w:t>
      </w:r>
      <w:r w:rsidR="00616A8D">
        <w:rPr>
          <w:rFonts w:ascii="Arial" w:hAnsi="Arial" w:cs="Arial"/>
          <w:sz w:val="18"/>
          <w:szCs w:val="18"/>
        </w:rPr>
        <w:t>s</w:t>
      </w:r>
      <w:r w:rsidR="00E7299C">
        <w:rPr>
          <w:rFonts w:ascii="Arial" w:hAnsi="Arial" w:cs="Arial"/>
          <w:sz w:val="18"/>
          <w:szCs w:val="18"/>
        </w:rPr>
        <w:t xml:space="preserve">ale are specifically </w:t>
      </w:r>
      <w:r w:rsidR="00616A8D">
        <w:rPr>
          <w:rFonts w:ascii="Arial" w:hAnsi="Arial" w:cs="Arial"/>
          <w:sz w:val="18"/>
          <w:szCs w:val="18"/>
        </w:rPr>
        <w:t xml:space="preserve">referenced and </w:t>
      </w:r>
      <w:r w:rsidR="00E7299C">
        <w:rPr>
          <w:rFonts w:ascii="Arial" w:hAnsi="Arial" w:cs="Arial"/>
          <w:sz w:val="18"/>
          <w:szCs w:val="18"/>
        </w:rPr>
        <w:t>incorporated into the Supplement</w:t>
      </w:r>
      <w:r w:rsidRPr="00580465">
        <w:rPr>
          <w:rFonts w:ascii="Arial" w:hAnsi="Arial" w:cs="Arial"/>
          <w:sz w:val="18"/>
          <w:szCs w:val="18"/>
        </w:rPr>
        <w:t xml:space="preserve">.  </w:t>
      </w:r>
      <w:r w:rsidR="001376E1" w:rsidRPr="00580465">
        <w:rPr>
          <w:rFonts w:ascii="Arial" w:hAnsi="Arial" w:cs="Arial"/>
          <w:sz w:val="18"/>
          <w:szCs w:val="18"/>
        </w:rPr>
        <w:t>This Partner Agreement</w:t>
      </w:r>
      <w:r w:rsidRPr="00580465">
        <w:rPr>
          <w:rFonts w:ascii="Arial" w:hAnsi="Arial" w:cs="Arial"/>
          <w:sz w:val="18"/>
          <w:szCs w:val="18"/>
        </w:rPr>
        <w:t xml:space="preserve"> may not be modified except in writing signed by both parties.</w:t>
      </w:r>
    </w:p>
    <w:p w14:paraId="04B07AF4" w14:textId="77777777" w:rsidR="008F2EC7" w:rsidRDefault="008F2EC7">
      <w:pPr>
        <w:tabs>
          <w:tab w:val="left" w:pos="4320"/>
          <w:tab w:val="left" w:pos="5040"/>
          <w:tab w:val="left" w:pos="9270"/>
        </w:tabs>
        <w:rPr>
          <w:rFonts w:ascii="Arial" w:hAnsi="Arial" w:cs="Arial"/>
          <w:sz w:val="18"/>
          <w:szCs w:val="18"/>
          <w:u w:val="single"/>
        </w:rPr>
        <w:sectPr w:rsidR="008F2EC7" w:rsidSect="00FB64E8">
          <w:footerReference w:type="default" r:id="rId10"/>
          <w:footerReference w:type="first" r:id="rId11"/>
          <w:pgSz w:w="12240" w:h="15840" w:code="1"/>
          <w:pgMar w:top="1008" w:right="1440" w:bottom="1008" w:left="1440" w:header="720" w:footer="504" w:gutter="0"/>
          <w:cols w:space="720"/>
          <w:docGrid w:linePitch="326"/>
        </w:sectPr>
      </w:pPr>
    </w:p>
    <w:p w14:paraId="01698D94" w14:textId="77777777" w:rsidR="008F2EC7" w:rsidRDefault="008F2EC7" w:rsidP="008F2EC7">
      <w:pPr>
        <w:jc w:val="center"/>
        <w:rPr>
          <w:rFonts w:ascii="Arial" w:hAnsi="Arial" w:cs="Arial"/>
          <w:b/>
        </w:rPr>
      </w:pPr>
      <w:r>
        <w:rPr>
          <w:rFonts w:ascii="Arial" w:hAnsi="Arial" w:cs="Arial"/>
          <w:b/>
        </w:rPr>
        <w:lastRenderedPageBreak/>
        <w:t>Appendix 1</w:t>
      </w:r>
    </w:p>
    <w:p w14:paraId="49691D50" w14:textId="77777777" w:rsidR="008F2EC7" w:rsidRDefault="008F2EC7" w:rsidP="008F2EC7">
      <w:pPr>
        <w:jc w:val="center"/>
        <w:rPr>
          <w:rFonts w:ascii="Arial" w:hAnsi="Arial" w:cs="Arial"/>
          <w:b/>
        </w:rPr>
      </w:pPr>
      <w:r>
        <w:rPr>
          <w:rFonts w:ascii="Arial" w:hAnsi="Arial" w:cs="Arial"/>
          <w:b/>
        </w:rPr>
        <w:t>Government Contract Provisions</w:t>
      </w:r>
    </w:p>
    <w:p w14:paraId="71875FFF" w14:textId="0164096D" w:rsidR="220AAB31" w:rsidRDefault="220AAB31" w:rsidP="765A0486">
      <w:pPr>
        <w:jc w:val="center"/>
        <w:rPr>
          <w:rFonts w:ascii="Arial" w:hAnsi="Arial" w:cs="Arial"/>
          <w:b/>
          <w:bCs/>
        </w:rPr>
      </w:pPr>
      <w:r w:rsidRPr="765A0486">
        <w:rPr>
          <w:rFonts w:ascii="Arial" w:hAnsi="Arial" w:cs="Arial"/>
          <w:b/>
          <w:bCs/>
        </w:rPr>
        <w:t>(applicable only for U.S. Government sales)</w:t>
      </w:r>
    </w:p>
    <w:p w14:paraId="609668E4" w14:textId="77777777" w:rsidR="008F2EC7" w:rsidRDefault="008F2EC7" w:rsidP="008F2EC7">
      <w:pPr>
        <w:jc w:val="center"/>
        <w:rPr>
          <w:rFonts w:ascii="Arial" w:hAnsi="Arial" w:cs="Arial"/>
          <w:b/>
        </w:rPr>
      </w:pPr>
    </w:p>
    <w:p w14:paraId="0265D3D6" w14:textId="77777777" w:rsidR="00132BF3" w:rsidRPr="00AF4C05" w:rsidRDefault="00132BF3" w:rsidP="00132BF3">
      <w:pPr>
        <w:pStyle w:val="ListParagraph"/>
        <w:tabs>
          <w:tab w:val="left" w:pos="360"/>
        </w:tabs>
        <w:spacing w:after="120"/>
        <w:ind w:left="0"/>
        <w:jc w:val="both"/>
        <w:rPr>
          <w:rFonts w:ascii="Arial" w:hAnsi="Arial" w:cs="Arial"/>
          <w:sz w:val="18"/>
          <w:szCs w:val="18"/>
        </w:rPr>
      </w:pPr>
      <w:r w:rsidRPr="00AF4C05">
        <w:rPr>
          <w:rFonts w:ascii="Arial" w:hAnsi="Arial" w:cs="Arial"/>
          <w:sz w:val="18"/>
          <w:szCs w:val="18"/>
        </w:rPr>
        <w:t>The following provision of the Federal Acquisitions Regulations (FAR) in effect on the date of this Agreement are incorporated herein by reference</w:t>
      </w:r>
      <w:r>
        <w:rPr>
          <w:rFonts w:ascii="Arial" w:hAnsi="Arial" w:cs="Arial"/>
          <w:sz w:val="18"/>
          <w:szCs w:val="18"/>
        </w:rPr>
        <w:t>:</w:t>
      </w:r>
    </w:p>
    <w:p w14:paraId="177C66AD" w14:textId="77777777" w:rsidR="00132BF3" w:rsidRPr="001608E4" w:rsidRDefault="00132BF3" w:rsidP="00132BF3">
      <w:pPr>
        <w:tabs>
          <w:tab w:val="left" w:pos="810"/>
        </w:tabs>
        <w:spacing w:after="120"/>
        <w:jc w:val="both"/>
        <w:rPr>
          <w:rFonts w:ascii="Arial" w:hAnsi="Arial" w:cs="Arial"/>
          <w:sz w:val="18"/>
          <w:szCs w:val="18"/>
        </w:rPr>
      </w:pPr>
      <w:r w:rsidRPr="001608E4">
        <w:rPr>
          <w:rFonts w:ascii="Arial" w:hAnsi="Arial" w:cs="Arial"/>
          <w:sz w:val="18"/>
          <w:szCs w:val="18"/>
        </w:rPr>
        <w:t>52.203-6, Restrictions on Subcontractor Sales to the Government (SEPT 2006)</w:t>
      </w:r>
    </w:p>
    <w:p w14:paraId="1A7BBB97"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52.203-13, Contractor Code of Business Ethics and Conduct (Apr 2010)</w:t>
      </w:r>
    </w:p>
    <w:p w14:paraId="17D857F0"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52.203-15, Whistleblower Protections Under the American Recovery and Reinvestment Act of 2009 (Jun 2010)</w:t>
      </w:r>
    </w:p>
    <w:p w14:paraId="61B261FC" w14:textId="77777777" w:rsidR="00132BF3"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52.212-5, Contract Terms and Conditions Required to Implement Statutes or Executive Orders – Commercial Items (Nov 2013) (Alternate II – Nov 2013) </w:t>
      </w:r>
    </w:p>
    <w:p w14:paraId="1365EB8C" w14:textId="77777777" w:rsidR="00132BF3" w:rsidRPr="001608E4" w:rsidRDefault="00132BF3" w:rsidP="00132BF3">
      <w:pPr>
        <w:tabs>
          <w:tab w:val="left" w:pos="810"/>
        </w:tabs>
        <w:spacing w:after="120"/>
        <w:jc w:val="both"/>
        <w:rPr>
          <w:rFonts w:ascii="Arial" w:hAnsi="Arial" w:cs="Arial"/>
          <w:color w:val="000000"/>
          <w:sz w:val="18"/>
          <w:szCs w:val="18"/>
        </w:rPr>
      </w:pPr>
      <w:r w:rsidRPr="001608E4">
        <w:rPr>
          <w:rFonts w:ascii="Arial" w:hAnsi="Arial" w:cs="Arial"/>
          <w:sz w:val="18"/>
          <w:szCs w:val="18"/>
        </w:rPr>
        <w:t xml:space="preserve">52.203-17, </w:t>
      </w:r>
      <w:r w:rsidRPr="001608E4">
        <w:rPr>
          <w:rFonts w:ascii="Arial" w:hAnsi="Arial" w:cs="Arial"/>
          <w:color w:val="000000"/>
          <w:sz w:val="18"/>
          <w:szCs w:val="18"/>
        </w:rPr>
        <w:t>Contractor Code of Business Ethics and Conduct (OCT 2015) (Applies if this Purchase Order exceeds $5,500,000 and the period of performance is more than 120 days.)</w:t>
      </w:r>
    </w:p>
    <w:p w14:paraId="480A1C05" w14:textId="77777777" w:rsidR="00132BF3" w:rsidRPr="001608E4" w:rsidRDefault="00132BF3" w:rsidP="00132BF3">
      <w:pPr>
        <w:tabs>
          <w:tab w:val="left" w:pos="810"/>
        </w:tabs>
        <w:spacing w:after="120"/>
        <w:jc w:val="both"/>
        <w:rPr>
          <w:rFonts w:ascii="Arial" w:hAnsi="Arial" w:cs="Arial"/>
          <w:color w:val="000000"/>
          <w:sz w:val="18"/>
          <w:szCs w:val="18"/>
        </w:rPr>
      </w:pPr>
      <w:r w:rsidRPr="001608E4">
        <w:rPr>
          <w:rFonts w:ascii="Arial" w:hAnsi="Arial" w:cs="Arial"/>
          <w:color w:val="000000"/>
          <w:sz w:val="18"/>
          <w:szCs w:val="18"/>
        </w:rPr>
        <w:t xml:space="preserve">52.203-19, </w:t>
      </w:r>
      <w:hyperlink r:id="rId12" w:tooltip="52.203-19" w:history="1">
        <w:r w:rsidRPr="001608E4">
          <w:rPr>
            <w:rFonts w:ascii="Arial" w:hAnsi="Arial" w:cs="Arial"/>
            <w:color w:val="000000"/>
            <w:sz w:val="18"/>
            <w:szCs w:val="18"/>
          </w:rPr>
          <w:t>Prohibition on Requiring Certain Internal Confidentiality Agreements or Statements (JAN 2017)</w:t>
        </w:r>
      </w:hyperlink>
    </w:p>
    <w:p w14:paraId="46E1D491" w14:textId="77777777" w:rsidR="00132BF3" w:rsidRPr="001608E4" w:rsidRDefault="00132BF3" w:rsidP="00132BF3">
      <w:pPr>
        <w:tabs>
          <w:tab w:val="left" w:pos="810"/>
        </w:tabs>
        <w:spacing w:after="120"/>
        <w:jc w:val="both"/>
        <w:rPr>
          <w:rFonts w:ascii="Arial" w:hAnsi="Arial" w:cs="Arial"/>
          <w:color w:val="000000"/>
          <w:sz w:val="18"/>
          <w:szCs w:val="18"/>
        </w:rPr>
      </w:pPr>
      <w:r w:rsidRPr="001608E4">
        <w:rPr>
          <w:rFonts w:ascii="Arial" w:hAnsi="Arial" w:cs="Arial"/>
          <w:color w:val="000000"/>
          <w:sz w:val="18"/>
          <w:szCs w:val="18"/>
        </w:rPr>
        <w:t>52.204-10, Reporting Executive Compensation and First-Tier Subcontract Awards (OCT 2016) (Applies only to the extent that ADS is required to provide information on Seller’s executive compensation under 52.204-10(d)(3), and requires only that Seller provide such information to ADS promptly on request))</w:t>
      </w:r>
    </w:p>
    <w:p w14:paraId="60A495F7" w14:textId="77777777" w:rsidR="00132BF3" w:rsidRPr="001608E4" w:rsidRDefault="00132BF3" w:rsidP="00132BF3">
      <w:pPr>
        <w:tabs>
          <w:tab w:val="left" w:pos="810"/>
        </w:tabs>
        <w:spacing w:after="120"/>
        <w:jc w:val="both"/>
        <w:rPr>
          <w:rFonts w:ascii="Arial" w:hAnsi="Arial" w:cs="Arial"/>
          <w:color w:val="000000"/>
          <w:sz w:val="18"/>
          <w:szCs w:val="18"/>
        </w:rPr>
      </w:pPr>
      <w:r w:rsidRPr="001608E4">
        <w:rPr>
          <w:rFonts w:ascii="Arial" w:hAnsi="Arial" w:cs="Arial"/>
          <w:color w:val="000000"/>
          <w:sz w:val="18"/>
          <w:szCs w:val="18"/>
        </w:rPr>
        <w:t>52.204-18, Commercial and Government Entity Code Maintenance (JUL 2016)</w:t>
      </w:r>
    </w:p>
    <w:p w14:paraId="251A1606" w14:textId="77777777" w:rsidR="00132BF3" w:rsidRPr="001608E4" w:rsidRDefault="00132BF3" w:rsidP="00132BF3">
      <w:pPr>
        <w:tabs>
          <w:tab w:val="left" w:pos="810"/>
        </w:tabs>
        <w:spacing w:after="120"/>
        <w:jc w:val="both"/>
        <w:rPr>
          <w:rFonts w:ascii="Arial" w:hAnsi="Arial" w:cs="Arial"/>
          <w:color w:val="000000"/>
          <w:sz w:val="18"/>
          <w:szCs w:val="18"/>
        </w:rPr>
      </w:pPr>
      <w:r w:rsidRPr="001608E4">
        <w:rPr>
          <w:rFonts w:ascii="Arial" w:hAnsi="Arial" w:cs="Arial"/>
          <w:color w:val="000000"/>
          <w:sz w:val="18"/>
          <w:szCs w:val="18"/>
        </w:rPr>
        <w:t>52.204-23, Prohibition on Contracting for Hardware, Software, and Services Developed or Provided by Kaspersky Lab and Other Covered Entities (JUL 2018</w:t>
      </w:r>
    </w:p>
    <w:p w14:paraId="74CBB03B" w14:textId="77777777" w:rsidR="00132BF3" w:rsidRPr="001608E4" w:rsidRDefault="00132BF3" w:rsidP="00132BF3">
      <w:pPr>
        <w:tabs>
          <w:tab w:val="left" w:pos="810"/>
        </w:tabs>
        <w:spacing w:after="120"/>
        <w:jc w:val="both"/>
        <w:rPr>
          <w:rFonts w:ascii="Arial" w:hAnsi="Arial" w:cs="Arial"/>
          <w:color w:val="000000"/>
          <w:sz w:val="18"/>
          <w:szCs w:val="18"/>
        </w:rPr>
      </w:pPr>
      <w:r w:rsidRPr="001608E4">
        <w:rPr>
          <w:rFonts w:ascii="Arial" w:hAnsi="Arial" w:cs="Arial"/>
          <w:color w:val="000000"/>
          <w:sz w:val="18"/>
          <w:szCs w:val="18"/>
        </w:rPr>
        <w:t>52.204-25, Prohibition on Contracting for Certain Telecommunications and Video Surveillance Services or Equipment (Aug 2020)</w:t>
      </w:r>
    </w:p>
    <w:p w14:paraId="4534AF49" w14:textId="77777777" w:rsidR="00132BF3" w:rsidRPr="001608E4" w:rsidRDefault="00132BF3" w:rsidP="00132BF3">
      <w:pPr>
        <w:tabs>
          <w:tab w:val="left" w:pos="810"/>
        </w:tabs>
        <w:spacing w:after="120"/>
        <w:jc w:val="both"/>
        <w:rPr>
          <w:rFonts w:ascii="Arial" w:hAnsi="Arial" w:cs="Arial"/>
          <w:color w:val="000000"/>
          <w:sz w:val="18"/>
          <w:szCs w:val="18"/>
        </w:rPr>
      </w:pPr>
      <w:r w:rsidRPr="001608E4">
        <w:rPr>
          <w:rFonts w:ascii="Arial" w:hAnsi="Arial" w:cs="Arial"/>
          <w:color w:val="000000"/>
          <w:sz w:val="18"/>
          <w:szCs w:val="18"/>
        </w:rPr>
        <w:t>52.209-6, Protecting the Government's Interest When Subcontracting with Contractors Debarred, Suspended, or Proposed for Debarment (OCT 2015) (Applies if this Purchase Order exceeds $35,000 and is not for commercial items.)</w:t>
      </w:r>
    </w:p>
    <w:p w14:paraId="11355412"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52.219-8, Utilization of Small Business Concerns (Jul 2013) </w:t>
      </w:r>
    </w:p>
    <w:p w14:paraId="45E6F421" w14:textId="77777777" w:rsidR="00132BF3" w:rsidRDefault="00132BF3" w:rsidP="00132BF3">
      <w:pPr>
        <w:spacing w:after="120"/>
        <w:rPr>
          <w:rFonts w:ascii="Arial" w:eastAsia="Calibri" w:hAnsi="Arial" w:cs="Arial"/>
          <w:sz w:val="18"/>
          <w:szCs w:val="18"/>
        </w:rPr>
      </w:pPr>
      <w:r w:rsidRPr="008F2EC7">
        <w:rPr>
          <w:rFonts w:ascii="Arial" w:eastAsia="Calibri" w:hAnsi="Arial" w:cs="Arial"/>
          <w:sz w:val="18"/>
          <w:szCs w:val="18"/>
        </w:rPr>
        <w:t>52.222-18, Certification Regarding Knowledge of Child Labor for Listed End Products (Feb 2001)</w:t>
      </w:r>
    </w:p>
    <w:p w14:paraId="48307BAA" w14:textId="77777777" w:rsidR="00132BF3" w:rsidRPr="001608E4" w:rsidRDefault="00132BF3" w:rsidP="00132BF3">
      <w:pPr>
        <w:tabs>
          <w:tab w:val="left" w:pos="810"/>
        </w:tabs>
        <w:spacing w:after="120"/>
        <w:jc w:val="both"/>
        <w:rPr>
          <w:rFonts w:ascii="Arial" w:hAnsi="Arial" w:cs="Arial"/>
          <w:sz w:val="18"/>
          <w:szCs w:val="18"/>
        </w:rPr>
      </w:pPr>
      <w:r w:rsidRPr="001608E4">
        <w:rPr>
          <w:rFonts w:ascii="Arial" w:hAnsi="Arial" w:cs="Arial"/>
          <w:sz w:val="18"/>
          <w:szCs w:val="18"/>
        </w:rPr>
        <w:t xml:space="preserve">52.222-21, </w:t>
      </w:r>
      <w:r w:rsidRPr="001608E4">
        <w:rPr>
          <w:rFonts w:ascii="Arial" w:hAnsi="Arial" w:cs="Arial"/>
          <w:color w:val="000000"/>
          <w:sz w:val="18"/>
          <w:szCs w:val="18"/>
        </w:rPr>
        <w:t>Prohibition of Segregated Facilities (APR 2015)</w:t>
      </w:r>
    </w:p>
    <w:p w14:paraId="07051542"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52.222-26, Equal Opportunity (Mar 2007)</w:t>
      </w:r>
    </w:p>
    <w:p w14:paraId="690D390D"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52.222-35, Equal Opportunity for Veterans (Sep 2010) </w:t>
      </w:r>
    </w:p>
    <w:p w14:paraId="3B528AC7" w14:textId="77777777" w:rsidR="00132BF3"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52.222–36, Affirmative Action for Workers with Disabilities (Oct 2010) </w:t>
      </w:r>
    </w:p>
    <w:p w14:paraId="68A2D313" w14:textId="77777777" w:rsidR="00132BF3" w:rsidRPr="001608E4" w:rsidRDefault="00132BF3" w:rsidP="00132BF3">
      <w:pPr>
        <w:tabs>
          <w:tab w:val="left" w:pos="810"/>
        </w:tabs>
        <w:spacing w:after="120"/>
        <w:jc w:val="both"/>
        <w:rPr>
          <w:rFonts w:ascii="Arial" w:hAnsi="Arial" w:cs="Arial"/>
          <w:sz w:val="18"/>
          <w:szCs w:val="18"/>
        </w:rPr>
      </w:pPr>
      <w:r w:rsidRPr="001608E4">
        <w:rPr>
          <w:rFonts w:ascii="Arial" w:hAnsi="Arial" w:cs="Arial"/>
          <w:sz w:val="18"/>
          <w:szCs w:val="18"/>
        </w:rPr>
        <w:t xml:space="preserve">52.222-37, </w:t>
      </w:r>
      <w:r w:rsidRPr="001608E4">
        <w:rPr>
          <w:rFonts w:ascii="Arial" w:hAnsi="Arial" w:cs="Arial"/>
          <w:color w:val="000000"/>
          <w:sz w:val="18"/>
          <w:szCs w:val="18"/>
        </w:rPr>
        <w:t>Employment Reports on Veterans (FEB 2016</w:t>
      </w:r>
    </w:p>
    <w:p w14:paraId="4988777D"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52.222-40, Notification of Employee Rights Under the National Labor Relations Act (Dec 2010) </w:t>
      </w:r>
    </w:p>
    <w:p w14:paraId="135CCC5B"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52.222-41, Service Contract Act of 1965 (Nov 2007) </w:t>
      </w:r>
    </w:p>
    <w:p w14:paraId="6A187FA5"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52.222-50, Combating Trafficking in Persons (Feb 2009) </w:t>
      </w:r>
    </w:p>
    <w:p w14:paraId="48E5CCCF"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52.222–51, Exemption from Application of the Service Contract Act to Contracts for Maintenance, Calibration, or Repair of Certain Equipment-Requirements (Nov 2007) </w:t>
      </w:r>
    </w:p>
    <w:p w14:paraId="32EF024F"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52.222-53, Exemption from Application of the Service Contract Act to Contracts for Certain Services-Requirements (Feb 2009) </w:t>
      </w:r>
    </w:p>
    <w:p w14:paraId="163853C3" w14:textId="77777777" w:rsidR="00132BF3" w:rsidRDefault="00132BF3" w:rsidP="00132BF3">
      <w:pPr>
        <w:spacing w:after="120"/>
        <w:rPr>
          <w:rFonts w:ascii="Arial" w:eastAsia="Calibri" w:hAnsi="Arial" w:cs="Arial"/>
          <w:sz w:val="18"/>
          <w:szCs w:val="18"/>
        </w:rPr>
      </w:pPr>
      <w:r w:rsidRPr="008F2EC7">
        <w:rPr>
          <w:rFonts w:ascii="Arial" w:eastAsia="Calibri" w:hAnsi="Arial" w:cs="Arial"/>
          <w:sz w:val="18"/>
          <w:szCs w:val="18"/>
        </w:rPr>
        <w:t>52.222-54, Employment Eligibility Verification (Aug 2013)</w:t>
      </w:r>
    </w:p>
    <w:p w14:paraId="09F22920" w14:textId="77777777" w:rsidR="00132BF3" w:rsidRDefault="00132BF3" w:rsidP="00132BF3">
      <w:pPr>
        <w:tabs>
          <w:tab w:val="left" w:pos="810"/>
        </w:tabs>
        <w:spacing w:after="120"/>
        <w:jc w:val="both"/>
        <w:rPr>
          <w:rFonts w:ascii="Arial" w:hAnsi="Arial" w:cs="Arial"/>
          <w:sz w:val="18"/>
          <w:szCs w:val="18"/>
        </w:rPr>
      </w:pPr>
      <w:r w:rsidRPr="001608E4">
        <w:rPr>
          <w:rFonts w:ascii="Arial" w:hAnsi="Arial" w:cs="Arial"/>
          <w:sz w:val="18"/>
          <w:szCs w:val="18"/>
        </w:rPr>
        <w:t>52.225-13, Res</w:t>
      </w:r>
      <w:r w:rsidRPr="001608E4">
        <w:rPr>
          <w:rFonts w:ascii="Arial" w:hAnsi="Arial" w:cs="Arial"/>
          <w:color w:val="000000"/>
          <w:sz w:val="18"/>
          <w:szCs w:val="18"/>
        </w:rPr>
        <w:t>trictions on Certain Foreign Purchases (JUN 2008)</w:t>
      </w:r>
      <w:r w:rsidRPr="001608E4">
        <w:rPr>
          <w:rFonts w:ascii="Arial" w:hAnsi="Arial" w:cs="Arial"/>
          <w:sz w:val="18"/>
          <w:szCs w:val="18"/>
        </w:rPr>
        <w:t xml:space="preserve"> </w:t>
      </w:r>
    </w:p>
    <w:p w14:paraId="2A205677"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52.225-26, Contractors Performing Private Security Functions Outside the United States (Jul 2013) </w:t>
      </w:r>
    </w:p>
    <w:p w14:paraId="35A1E2A8" w14:textId="77777777" w:rsidR="00132BF3" w:rsidRPr="008F2EC7" w:rsidRDefault="00132BF3" w:rsidP="00132BF3">
      <w:pPr>
        <w:spacing w:after="120"/>
        <w:rPr>
          <w:rFonts w:ascii="Arial" w:eastAsia="Calibri" w:hAnsi="Arial" w:cs="Arial"/>
          <w:sz w:val="18"/>
          <w:szCs w:val="18"/>
        </w:rPr>
      </w:pPr>
      <w:r w:rsidRPr="008F2EC7">
        <w:rPr>
          <w:rFonts w:ascii="Arial" w:eastAsia="Calibri" w:hAnsi="Arial" w:cs="Arial"/>
          <w:sz w:val="18"/>
          <w:szCs w:val="18"/>
        </w:rPr>
        <w:t xml:space="preserve">52.226-6, Promoting Excess Food Donation to Nonprofit Organizations (Mar 2009) </w:t>
      </w:r>
    </w:p>
    <w:p w14:paraId="1E810F31" w14:textId="77777777" w:rsidR="00132BF3" w:rsidRPr="001608E4" w:rsidRDefault="00132BF3" w:rsidP="00132BF3">
      <w:pPr>
        <w:tabs>
          <w:tab w:val="left" w:pos="810"/>
        </w:tabs>
        <w:spacing w:after="120"/>
        <w:jc w:val="both"/>
        <w:rPr>
          <w:rFonts w:ascii="Arial" w:hAnsi="Arial" w:cs="Arial"/>
          <w:sz w:val="18"/>
          <w:szCs w:val="18"/>
        </w:rPr>
      </w:pPr>
      <w:r w:rsidRPr="001608E4">
        <w:rPr>
          <w:rFonts w:ascii="Arial" w:hAnsi="Arial" w:cs="Arial"/>
          <w:sz w:val="18"/>
          <w:szCs w:val="18"/>
        </w:rPr>
        <w:t xml:space="preserve">52.232-40, </w:t>
      </w:r>
      <w:r w:rsidRPr="001608E4">
        <w:rPr>
          <w:rFonts w:ascii="Arial" w:hAnsi="Arial" w:cs="Arial"/>
          <w:color w:val="000000"/>
          <w:sz w:val="18"/>
          <w:szCs w:val="18"/>
        </w:rPr>
        <w:t>Providing Accelerated Payments to Small Business Subcontractors (DEC 2013)</w:t>
      </w:r>
    </w:p>
    <w:p w14:paraId="58307B34" w14:textId="77777777" w:rsidR="00132BF3" w:rsidRPr="001608E4" w:rsidRDefault="00132BF3" w:rsidP="00132BF3">
      <w:pPr>
        <w:tabs>
          <w:tab w:val="left" w:pos="810"/>
        </w:tabs>
        <w:spacing w:after="120"/>
        <w:jc w:val="both"/>
        <w:rPr>
          <w:rFonts w:ascii="Arial" w:hAnsi="Arial" w:cs="Arial"/>
          <w:sz w:val="18"/>
          <w:szCs w:val="18"/>
        </w:rPr>
      </w:pPr>
      <w:r w:rsidRPr="001608E4">
        <w:rPr>
          <w:rFonts w:ascii="Arial" w:hAnsi="Arial" w:cs="Arial"/>
          <w:sz w:val="18"/>
          <w:szCs w:val="18"/>
        </w:rPr>
        <w:t xml:space="preserve">52.242-13, </w:t>
      </w:r>
      <w:r w:rsidRPr="001608E4">
        <w:rPr>
          <w:rFonts w:ascii="Arial" w:hAnsi="Arial" w:cs="Arial"/>
          <w:color w:val="000000"/>
          <w:sz w:val="18"/>
          <w:szCs w:val="18"/>
        </w:rPr>
        <w:t>Bankruptcy (JUL 1995)</w:t>
      </w:r>
    </w:p>
    <w:p w14:paraId="56F360C4" w14:textId="77777777" w:rsidR="00132BF3" w:rsidRPr="001608E4" w:rsidRDefault="00132BF3" w:rsidP="00132BF3">
      <w:pPr>
        <w:tabs>
          <w:tab w:val="left" w:pos="810"/>
        </w:tabs>
        <w:spacing w:after="120"/>
        <w:jc w:val="both"/>
        <w:rPr>
          <w:rFonts w:ascii="Arial" w:hAnsi="Arial" w:cs="Arial"/>
          <w:sz w:val="18"/>
          <w:szCs w:val="18"/>
        </w:rPr>
      </w:pPr>
      <w:r w:rsidRPr="001608E4">
        <w:rPr>
          <w:rFonts w:ascii="Arial" w:hAnsi="Arial" w:cs="Arial"/>
          <w:sz w:val="18"/>
          <w:szCs w:val="18"/>
        </w:rPr>
        <w:t xml:space="preserve">52.242-15, </w:t>
      </w:r>
      <w:r w:rsidRPr="001608E4">
        <w:rPr>
          <w:rFonts w:ascii="Arial" w:hAnsi="Arial" w:cs="Arial"/>
          <w:color w:val="000000"/>
          <w:sz w:val="18"/>
          <w:szCs w:val="18"/>
        </w:rPr>
        <w:t>Stop-Work Order (AUG 1989)</w:t>
      </w:r>
    </w:p>
    <w:p w14:paraId="51D4281A" w14:textId="77777777" w:rsidR="00132BF3" w:rsidRPr="008F2EC7" w:rsidRDefault="00132BF3" w:rsidP="00132BF3">
      <w:pPr>
        <w:spacing w:after="120"/>
        <w:rPr>
          <w:rFonts w:ascii="Arial" w:hAnsi="Arial" w:cs="Arial"/>
          <w:sz w:val="18"/>
          <w:szCs w:val="18"/>
        </w:rPr>
      </w:pPr>
      <w:r w:rsidRPr="008F2EC7">
        <w:rPr>
          <w:rFonts w:ascii="Arial" w:eastAsia="Calibri" w:hAnsi="Arial" w:cs="Arial"/>
          <w:sz w:val="18"/>
          <w:szCs w:val="18"/>
        </w:rPr>
        <w:t>52.247-64, Preference for Privately Owned U.S.-Flag Commercial Vessels (Feb 2006)</w:t>
      </w:r>
      <w:r w:rsidRPr="008F2EC7" w:rsidDel="006D60CB">
        <w:rPr>
          <w:rFonts w:ascii="Arial" w:hAnsi="Arial" w:cs="Arial"/>
          <w:sz w:val="18"/>
          <w:szCs w:val="18"/>
        </w:rPr>
        <w:t xml:space="preserve"> </w:t>
      </w:r>
    </w:p>
    <w:p w14:paraId="531352AC" w14:textId="77777777" w:rsidR="00132BF3" w:rsidRPr="001608E4" w:rsidRDefault="00132BF3" w:rsidP="00132BF3">
      <w:pPr>
        <w:tabs>
          <w:tab w:val="left" w:pos="810"/>
        </w:tabs>
        <w:spacing w:after="120"/>
        <w:jc w:val="both"/>
        <w:rPr>
          <w:rFonts w:ascii="Arial" w:hAnsi="Arial" w:cs="Arial"/>
          <w:sz w:val="18"/>
          <w:szCs w:val="18"/>
        </w:rPr>
      </w:pPr>
      <w:r w:rsidRPr="001608E4">
        <w:rPr>
          <w:rFonts w:ascii="Arial" w:hAnsi="Arial" w:cs="Arial"/>
          <w:sz w:val="18"/>
          <w:szCs w:val="18"/>
        </w:rPr>
        <w:lastRenderedPageBreak/>
        <w:t xml:space="preserve">252.203-7002, </w:t>
      </w:r>
      <w:r w:rsidRPr="001608E4">
        <w:rPr>
          <w:rFonts w:ascii="Arial" w:hAnsi="Arial" w:cs="Arial"/>
          <w:color w:val="000000"/>
          <w:sz w:val="18"/>
          <w:szCs w:val="18"/>
        </w:rPr>
        <w:t>Requirements to Inform Employees of Whistleblower Rights (SEP 2013</w:t>
      </w:r>
    </w:p>
    <w:p w14:paraId="27577989" w14:textId="77777777" w:rsidR="00132BF3" w:rsidRPr="001608E4" w:rsidRDefault="00132BF3" w:rsidP="00132BF3">
      <w:pPr>
        <w:tabs>
          <w:tab w:val="left" w:pos="810"/>
        </w:tabs>
        <w:spacing w:after="120"/>
        <w:ind w:left="810" w:hanging="450"/>
        <w:jc w:val="both"/>
        <w:rPr>
          <w:rFonts w:ascii="Arial" w:hAnsi="Arial" w:cs="Arial"/>
          <w:sz w:val="18"/>
          <w:szCs w:val="18"/>
        </w:rPr>
      </w:pPr>
      <w:r w:rsidRPr="001608E4">
        <w:rPr>
          <w:rFonts w:ascii="Arial" w:hAnsi="Arial" w:cs="Arial"/>
          <w:sz w:val="18"/>
          <w:szCs w:val="18"/>
        </w:rPr>
        <w:t xml:space="preserve">252.203-7003, </w:t>
      </w:r>
      <w:r w:rsidRPr="001608E4">
        <w:rPr>
          <w:rFonts w:ascii="Arial" w:hAnsi="Arial" w:cs="Arial"/>
          <w:color w:val="000000"/>
          <w:sz w:val="18"/>
          <w:szCs w:val="18"/>
        </w:rPr>
        <w:t>Agency Office of the Inspector General (DEC 2012)</w:t>
      </w:r>
    </w:p>
    <w:p w14:paraId="61DE4992" w14:textId="77777777" w:rsidR="00132BF3" w:rsidRPr="001608E4" w:rsidRDefault="00132BF3" w:rsidP="00132BF3">
      <w:pPr>
        <w:tabs>
          <w:tab w:val="left" w:pos="810"/>
        </w:tabs>
        <w:spacing w:after="120"/>
        <w:ind w:left="810" w:hanging="450"/>
        <w:jc w:val="both"/>
        <w:rPr>
          <w:rFonts w:ascii="Arial" w:hAnsi="Arial" w:cs="Arial"/>
          <w:sz w:val="18"/>
          <w:szCs w:val="18"/>
        </w:rPr>
      </w:pPr>
      <w:r w:rsidRPr="001608E4">
        <w:rPr>
          <w:rFonts w:ascii="Arial" w:hAnsi="Arial" w:cs="Arial"/>
          <w:sz w:val="18"/>
          <w:szCs w:val="18"/>
        </w:rPr>
        <w:t xml:space="preserve">252.204-7000, </w:t>
      </w:r>
      <w:r w:rsidRPr="001608E4">
        <w:rPr>
          <w:rFonts w:ascii="Arial" w:hAnsi="Arial" w:cs="Arial"/>
          <w:color w:val="000000"/>
          <w:sz w:val="18"/>
          <w:szCs w:val="18"/>
        </w:rPr>
        <w:t>Disclosure of Information (DEC 1991)</w:t>
      </w:r>
      <w:r w:rsidRPr="001608E4">
        <w:rPr>
          <w:rFonts w:ascii="Arial" w:hAnsi="Arial" w:cs="Arial"/>
          <w:sz w:val="18"/>
          <w:szCs w:val="18"/>
        </w:rPr>
        <w:t xml:space="preserve"> </w:t>
      </w:r>
    </w:p>
    <w:p w14:paraId="27B946D9" w14:textId="77777777" w:rsidR="00132BF3" w:rsidRPr="001608E4" w:rsidRDefault="00132BF3" w:rsidP="00132BF3">
      <w:pPr>
        <w:tabs>
          <w:tab w:val="left" w:pos="810"/>
        </w:tabs>
        <w:spacing w:after="120"/>
        <w:ind w:left="810" w:hanging="450"/>
        <w:jc w:val="both"/>
        <w:rPr>
          <w:rFonts w:ascii="Arial" w:hAnsi="Arial" w:cs="Arial"/>
          <w:sz w:val="18"/>
          <w:szCs w:val="18"/>
        </w:rPr>
      </w:pPr>
      <w:r w:rsidRPr="001608E4">
        <w:rPr>
          <w:rFonts w:ascii="Arial" w:hAnsi="Arial" w:cs="Arial"/>
          <w:sz w:val="18"/>
          <w:szCs w:val="18"/>
        </w:rPr>
        <w:t>252.204-7008, Export-Controlled Items (APR 2010).</w:t>
      </w:r>
    </w:p>
    <w:p w14:paraId="09DFC063" w14:textId="77777777" w:rsidR="00132BF3" w:rsidRPr="001608E4" w:rsidRDefault="00132BF3" w:rsidP="00132BF3">
      <w:pPr>
        <w:spacing w:after="120"/>
        <w:ind w:left="360"/>
        <w:jc w:val="both"/>
        <w:rPr>
          <w:rFonts w:ascii="Arial" w:hAnsi="Arial" w:cs="Arial"/>
          <w:sz w:val="18"/>
          <w:szCs w:val="18"/>
        </w:rPr>
      </w:pPr>
      <w:r w:rsidRPr="001608E4">
        <w:rPr>
          <w:rFonts w:ascii="Arial" w:hAnsi="Arial" w:cs="Arial"/>
          <w:sz w:val="18"/>
          <w:szCs w:val="18"/>
        </w:rPr>
        <w:t xml:space="preserve">252.204-7012, </w:t>
      </w:r>
      <w:r w:rsidRPr="001608E4">
        <w:rPr>
          <w:rFonts w:ascii="Arial" w:hAnsi="Arial" w:cs="Arial"/>
          <w:color w:val="000000"/>
          <w:sz w:val="18"/>
          <w:szCs w:val="18"/>
        </w:rPr>
        <w:t>Safeguarding Covered Defense Information and Cyber Incident Reporting (OCT 2016) (applies to</w:t>
      </w:r>
      <w:r>
        <w:rPr>
          <w:rFonts w:ascii="Arial" w:hAnsi="Arial" w:cs="Arial"/>
          <w:color w:val="000000"/>
          <w:sz w:val="18"/>
          <w:szCs w:val="18"/>
        </w:rPr>
        <w:t xml:space="preserve"> </w:t>
      </w:r>
      <w:r w:rsidRPr="001608E4">
        <w:rPr>
          <w:rFonts w:ascii="Arial" w:hAnsi="Arial" w:cs="Arial"/>
          <w:color w:val="000000"/>
          <w:sz w:val="18"/>
          <w:szCs w:val="18"/>
        </w:rPr>
        <w:t>information provided by ADS to Seller that is identified as covered defense information)</w:t>
      </w:r>
      <w:r w:rsidRPr="001608E4">
        <w:rPr>
          <w:rFonts w:ascii="Arial" w:hAnsi="Arial" w:cs="Arial"/>
          <w:sz w:val="18"/>
          <w:szCs w:val="18"/>
        </w:rPr>
        <w:t xml:space="preserve"> </w:t>
      </w:r>
    </w:p>
    <w:p w14:paraId="67E4495D" w14:textId="77777777" w:rsidR="00132BF3" w:rsidRPr="001608E4" w:rsidRDefault="00132BF3" w:rsidP="00132BF3">
      <w:pPr>
        <w:tabs>
          <w:tab w:val="left" w:pos="810"/>
        </w:tabs>
        <w:spacing w:after="120"/>
        <w:ind w:left="810" w:hanging="450"/>
        <w:jc w:val="both"/>
        <w:rPr>
          <w:rFonts w:ascii="Arial" w:hAnsi="Arial" w:cs="Arial"/>
          <w:sz w:val="18"/>
          <w:szCs w:val="18"/>
        </w:rPr>
      </w:pPr>
      <w:r w:rsidRPr="001608E4">
        <w:rPr>
          <w:rFonts w:ascii="Arial" w:hAnsi="Arial" w:cs="Arial"/>
          <w:sz w:val="18"/>
          <w:szCs w:val="18"/>
        </w:rPr>
        <w:t xml:space="preserve">252.204-7015, </w:t>
      </w:r>
      <w:r w:rsidRPr="001608E4">
        <w:rPr>
          <w:rFonts w:ascii="Arial" w:hAnsi="Arial" w:cs="Arial"/>
          <w:color w:val="000000"/>
          <w:sz w:val="18"/>
          <w:szCs w:val="18"/>
        </w:rPr>
        <w:t>Notice of Authorized Disclosure of Information for Litigation Support (MAY 2016)</w:t>
      </w:r>
    </w:p>
    <w:p w14:paraId="3BDF65DA" w14:textId="77777777" w:rsidR="00132BF3" w:rsidRPr="001608E4" w:rsidRDefault="00132BF3" w:rsidP="00132BF3">
      <w:pPr>
        <w:tabs>
          <w:tab w:val="left" w:pos="810"/>
        </w:tabs>
        <w:spacing w:after="120"/>
        <w:ind w:left="810" w:hanging="450"/>
        <w:jc w:val="both"/>
        <w:rPr>
          <w:rFonts w:ascii="Arial" w:hAnsi="Arial" w:cs="Arial"/>
          <w:sz w:val="18"/>
          <w:szCs w:val="18"/>
        </w:rPr>
      </w:pPr>
      <w:r w:rsidRPr="001608E4">
        <w:rPr>
          <w:rFonts w:ascii="Arial" w:hAnsi="Arial" w:cs="Arial"/>
          <w:sz w:val="18"/>
          <w:szCs w:val="18"/>
        </w:rPr>
        <w:t xml:space="preserve">252.223-7008, </w:t>
      </w:r>
      <w:r w:rsidRPr="001608E4">
        <w:rPr>
          <w:rFonts w:ascii="Arial" w:hAnsi="Arial" w:cs="Arial"/>
          <w:color w:val="000000"/>
          <w:sz w:val="18"/>
          <w:szCs w:val="18"/>
        </w:rPr>
        <w:t>Prohibition of Hexavalent Chromium (JUN 2013</w:t>
      </w:r>
    </w:p>
    <w:p w14:paraId="045339B6" w14:textId="77777777" w:rsidR="00132BF3" w:rsidRDefault="00132BF3" w:rsidP="00132BF3">
      <w:pPr>
        <w:tabs>
          <w:tab w:val="left" w:pos="810"/>
        </w:tabs>
        <w:spacing w:after="120"/>
        <w:ind w:left="810" w:hanging="450"/>
        <w:jc w:val="both"/>
        <w:rPr>
          <w:rFonts w:ascii="Arial" w:hAnsi="Arial" w:cs="Arial"/>
          <w:sz w:val="18"/>
          <w:szCs w:val="18"/>
        </w:rPr>
      </w:pPr>
      <w:r w:rsidRPr="001608E4">
        <w:rPr>
          <w:rFonts w:ascii="Arial" w:hAnsi="Arial" w:cs="Arial"/>
          <w:sz w:val="18"/>
          <w:szCs w:val="18"/>
        </w:rPr>
        <w:t xml:space="preserve">252.225-7001, </w:t>
      </w:r>
      <w:r w:rsidRPr="001608E4">
        <w:rPr>
          <w:rFonts w:ascii="Arial" w:hAnsi="Arial" w:cs="Arial"/>
          <w:color w:val="000000"/>
          <w:sz w:val="18"/>
          <w:szCs w:val="18"/>
        </w:rPr>
        <w:t>Buy American and Balance of Payments Program—Basic (DEC 2017)</w:t>
      </w:r>
      <w:r w:rsidRPr="001608E4">
        <w:rPr>
          <w:rFonts w:ascii="Arial" w:hAnsi="Arial" w:cs="Arial"/>
          <w:sz w:val="18"/>
          <w:szCs w:val="18"/>
        </w:rPr>
        <w:t xml:space="preserve"> </w:t>
      </w:r>
    </w:p>
    <w:p w14:paraId="07D9A29C" w14:textId="77777777" w:rsidR="00132BF3" w:rsidRPr="008F2EC7" w:rsidRDefault="00132BF3" w:rsidP="00132BF3">
      <w:pPr>
        <w:spacing w:after="120"/>
        <w:ind w:left="360"/>
        <w:rPr>
          <w:rFonts w:ascii="Arial" w:hAnsi="Arial" w:cs="Arial"/>
          <w:sz w:val="18"/>
          <w:szCs w:val="18"/>
        </w:rPr>
      </w:pPr>
      <w:r w:rsidRPr="008F2EC7">
        <w:rPr>
          <w:rFonts w:ascii="Arial" w:hAnsi="Arial" w:cs="Arial"/>
          <w:sz w:val="18"/>
          <w:szCs w:val="18"/>
        </w:rPr>
        <w:t>252.225-7009, Restriction on Acquisition of Certain Articles Containing Specialty Metals (June 2013)</w:t>
      </w:r>
    </w:p>
    <w:p w14:paraId="433FE395" w14:textId="77777777" w:rsidR="00132BF3" w:rsidRPr="001608E4" w:rsidRDefault="00132BF3" w:rsidP="00132BF3">
      <w:pPr>
        <w:tabs>
          <w:tab w:val="left" w:pos="810"/>
        </w:tabs>
        <w:spacing w:after="120"/>
        <w:ind w:left="810" w:hanging="450"/>
        <w:jc w:val="both"/>
        <w:rPr>
          <w:rFonts w:ascii="Arial" w:hAnsi="Arial" w:cs="Arial"/>
          <w:sz w:val="18"/>
          <w:szCs w:val="18"/>
        </w:rPr>
      </w:pPr>
      <w:r w:rsidRPr="001608E4">
        <w:rPr>
          <w:rFonts w:ascii="Arial" w:hAnsi="Arial" w:cs="Arial"/>
          <w:sz w:val="18"/>
          <w:szCs w:val="18"/>
        </w:rPr>
        <w:t>252.225-7012, Pref</w:t>
      </w:r>
      <w:r w:rsidRPr="001608E4">
        <w:rPr>
          <w:rFonts w:ascii="Arial" w:hAnsi="Arial" w:cs="Arial"/>
          <w:color w:val="000000"/>
          <w:sz w:val="18"/>
          <w:szCs w:val="18"/>
        </w:rPr>
        <w:t>erence for Certain Domestic Commodities (DEC 2016</w:t>
      </w:r>
    </w:p>
    <w:p w14:paraId="050AABB7" w14:textId="77777777" w:rsidR="00132BF3" w:rsidRPr="001608E4" w:rsidRDefault="00132BF3" w:rsidP="00132BF3">
      <w:pPr>
        <w:tabs>
          <w:tab w:val="left" w:pos="810"/>
        </w:tabs>
        <w:spacing w:after="120"/>
        <w:ind w:left="810" w:hanging="450"/>
        <w:jc w:val="both"/>
        <w:rPr>
          <w:rFonts w:ascii="Arial" w:hAnsi="Arial" w:cs="Arial"/>
          <w:sz w:val="18"/>
          <w:szCs w:val="18"/>
        </w:rPr>
      </w:pPr>
      <w:r w:rsidRPr="001608E4">
        <w:rPr>
          <w:rFonts w:ascii="Arial" w:hAnsi="Arial" w:cs="Arial"/>
          <w:sz w:val="18"/>
          <w:szCs w:val="18"/>
        </w:rPr>
        <w:t xml:space="preserve">252.225-7013, </w:t>
      </w:r>
      <w:r w:rsidRPr="001608E4">
        <w:rPr>
          <w:rFonts w:ascii="Arial" w:hAnsi="Arial" w:cs="Arial"/>
          <w:color w:val="000000"/>
          <w:sz w:val="18"/>
          <w:szCs w:val="18"/>
        </w:rPr>
        <w:t>Duty-Free Entry (DEVIATION 2020-O0019) (JUL 2020</w:t>
      </w:r>
    </w:p>
    <w:p w14:paraId="056A4421" w14:textId="77777777" w:rsidR="00132BF3" w:rsidRPr="001608E4" w:rsidRDefault="00132BF3" w:rsidP="00132BF3">
      <w:pPr>
        <w:tabs>
          <w:tab w:val="left" w:pos="810"/>
        </w:tabs>
        <w:spacing w:after="120"/>
        <w:ind w:left="810" w:hanging="450"/>
        <w:jc w:val="both"/>
        <w:rPr>
          <w:rFonts w:ascii="Arial" w:hAnsi="Arial" w:cs="Arial"/>
          <w:sz w:val="18"/>
          <w:szCs w:val="18"/>
        </w:rPr>
      </w:pPr>
      <w:r w:rsidRPr="001608E4">
        <w:rPr>
          <w:rFonts w:ascii="Arial" w:hAnsi="Arial" w:cs="Arial"/>
          <w:sz w:val="18"/>
          <w:szCs w:val="18"/>
        </w:rPr>
        <w:t xml:space="preserve">252.225-7015, </w:t>
      </w:r>
      <w:r w:rsidRPr="001608E4">
        <w:rPr>
          <w:rFonts w:ascii="Arial" w:hAnsi="Arial" w:cs="Arial"/>
          <w:color w:val="000000"/>
          <w:sz w:val="18"/>
          <w:szCs w:val="18"/>
        </w:rPr>
        <w:t>Restriction on Acquisition of Hand or Measuring Tools (JUN 2005</w:t>
      </w:r>
    </w:p>
    <w:p w14:paraId="58C465C0" w14:textId="77777777" w:rsidR="00132BF3" w:rsidRPr="001608E4" w:rsidRDefault="00132BF3" w:rsidP="00132BF3">
      <w:pPr>
        <w:spacing w:after="120"/>
        <w:ind w:left="360"/>
        <w:jc w:val="both"/>
        <w:rPr>
          <w:rFonts w:ascii="Arial" w:hAnsi="Arial" w:cs="Arial"/>
          <w:sz w:val="18"/>
          <w:szCs w:val="18"/>
        </w:rPr>
      </w:pPr>
      <w:r w:rsidRPr="001608E4">
        <w:rPr>
          <w:rFonts w:ascii="Arial" w:hAnsi="Arial" w:cs="Arial"/>
          <w:sz w:val="18"/>
          <w:szCs w:val="18"/>
        </w:rPr>
        <w:t xml:space="preserve">252.225-7043, </w:t>
      </w:r>
      <w:r w:rsidRPr="001608E4">
        <w:rPr>
          <w:rFonts w:ascii="Arial" w:hAnsi="Arial" w:cs="Arial"/>
          <w:color w:val="000000"/>
          <w:sz w:val="18"/>
          <w:szCs w:val="18"/>
        </w:rPr>
        <w:t>Antiterrorism/Force Protection Policy for Defense Contractors Outside the United States (JUN 2015) (applies if Seller’s performance under the Purchase Order involves any work or travel outside the United States)</w:t>
      </w:r>
    </w:p>
    <w:p w14:paraId="018066B2" w14:textId="77777777" w:rsidR="00132BF3" w:rsidRPr="001608E4" w:rsidRDefault="00132BF3" w:rsidP="00132BF3">
      <w:pPr>
        <w:spacing w:after="120"/>
        <w:ind w:left="360"/>
        <w:jc w:val="both"/>
        <w:rPr>
          <w:rFonts w:ascii="Arial" w:hAnsi="Arial" w:cs="Arial"/>
          <w:sz w:val="18"/>
          <w:szCs w:val="18"/>
        </w:rPr>
      </w:pPr>
      <w:r w:rsidRPr="001608E4">
        <w:rPr>
          <w:rFonts w:ascii="Arial" w:hAnsi="Arial" w:cs="Arial"/>
          <w:sz w:val="18"/>
          <w:szCs w:val="18"/>
        </w:rPr>
        <w:t xml:space="preserve">252.225-7048, </w:t>
      </w:r>
      <w:r w:rsidRPr="001608E4">
        <w:rPr>
          <w:rFonts w:ascii="Arial" w:hAnsi="Arial" w:cs="Arial"/>
          <w:color w:val="000000"/>
          <w:sz w:val="18"/>
          <w:szCs w:val="18"/>
        </w:rPr>
        <w:t>Export Controlled Items (JUNE 2013</w:t>
      </w:r>
    </w:p>
    <w:p w14:paraId="35F07C61" w14:textId="77777777" w:rsidR="00132BF3" w:rsidRPr="001608E4" w:rsidRDefault="00132BF3" w:rsidP="00132BF3">
      <w:pPr>
        <w:spacing w:after="120"/>
        <w:ind w:left="360"/>
        <w:jc w:val="both"/>
        <w:rPr>
          <w:rFonts w:ascii="Arial" w:hAnsi="Arial" w:cs="Arial"/>
          <w:sz w:val="18"/>
          <w:szCs w:val="18"/>
        </w:rPr>
      </w:pPr>
      <w:r w:rsidRPr="001608E4">
        <w:rPr>
          <w:rFonts w:ascii="Arial" w:hAnsi="Arial" w:cs="Arial"/>
          <w:sz w:val="18"/>
          <w:szCs w:val="18"/>
        </w:rPr>
        <w:t xml:space="preserve">252.227-7015, </w:t>
      </w:r>
      <w:r w:rsidRPr="001608E4">
        <w:rPr>
          <w:rFonts w:ascii="Arial" w:hAnsi="Arial" w:cs="Arial"/>
          <w:color w:val="000000"/>
          <w:sz w:val="18"/>
          <w:szCs w:val="18"/>
        </w:rPr>
        <w:t>Technical Data - Commercial Items (FEB 2014)</w:t>
      </w:r>
      <w:r w:rsidRPr="001608E4">
        <w:rPr>
          <w:rFonts w:ascii="Arial" w:hAnsi="Arial" w:cs="Arial"/>
          <w:sz w:val="18"/>
          <w:szCs w:val="18"/>
        </w:rPr>
        <w:t xml:space="preserve"> </w:t>
      </w:r>
    </w:p>
    <w:p w14:paraId="65E0542D" w14:textId="77777777" w:rsidR="00132BF3" w:rsidRPr="001608E4" w:rsidRDefault="00132BF3" w:rsidP="00132BF3">
      <w:pPr>
        <w:spacing w:after="120"/>
        <w:ind w:left="360"/>
        <w:jc w:val="both"/>
        <w:rPr>
          <w:rFonts w:ascii="Arial" w:hAnsi="Arial" w:cs="Arial"/>
          <w:sz w:val="18"/>
          <w:szCs w:val="18"/>
        </w:rPr>
      </w:pPr>
      <w:r w:rsidRPr="001608E4">
        <w:rPr>
          <w:rFonts w:ascii="Arial" w:hAnsi="Arial" w:cs="Arial"/>
          <w:sz w:val="18"/>
          <w:szCs w:val="18"/>
        </w:rPr>
        <w:t xml:space="preserve">252.227-7037, </w:t>
      </w:r>
      <w:r w:rsidRPr="001608E4">
        <w:rPr>
          <w:rFonts w:ascii="Arial" w:hAnsi="Arial" w:cs="Arial"/>
          <w:color w:val="000000"/>
          <w:sz w:val="18"/>
          <w:szCs w:val="18"/>
        </w:rPr>
        <w:t>Validation of Restrictive Markings on Technical Data (JUN 2013)</w:t>
      </w:r>
      <w:r w:rsidRPr="001608E4">
        <w:rPr>
          <w:rFonts w:ascii="Arial" w:hAnsi="Arial" w:cs="Arial"/>
          <w:sz w:val="18"/>
          <w:szCs w:val="18"/>
        </w:rPr>
        <w:t xml:space="preserve"> </w:t>
      </w:r>
    </w:p>
    <w:p w14:paraId="6A0A3DD4" w14:textId="77777777" w:rsidR="00132BF3" w:rsidRPr="001608E4" w:rsidRDefault="00132BF3" w:rsidP="00132BF3">
      <w:pPr>
        <w:spacing w:after="120"/>
        <w:ind w:left="360"/>
        <w:jc w:val="both"/>
        <w:rPr>
          <w:rFonts w:ascii="Arial" w:hAnsi="Arial" w:cs="Arial"/>
          <w:sz w:val="18"/>
          <w:szCs w:val="18"/>
        </w:rPr>
      </w:pPr>
      <w:r w:rsidRPr="001608E4">
        <w:rPr>
          <w:rFonts w:ascii="Arial" w:hAnsi="Arial" w:cs="Arial"/>
          <w:sz w:val="18"/>
          <w:szCs w:val="18"/>
        </w:rPr>
        <w:t xml:space="preserve">252.244-7000, </w:t>
      </w:r>
      <w:r w:rsidRPr="001608E4">
        <w:rPr>
          <w:rFonts w:ascii="Arial" w:hAnsi="Arial" w:cs="Arial"/>
          <w:color w:val="000000"/>
          <w:sz w:val="18"/>
          <w:szCs w:val="18"/>
        </w:rPr>
        <w:t>Subcontracts for Commercial Items and Commercial Components (DOD Contracts) (JUN 2013</w:t>
      </w:r>
    </w:p>
    <w:p w14:paraId="25F2D50B" w14:textId="77777777" w:rsidR="00132BF3" w:rsidRDefault="00132BF3" w:rsidP="00132BF3">
      <w:pPr>
        <w:spacing w:after="120"/>
        <w:ind w:left="360"/>
        <w:jc w:val="both"/>
        <w:rPr>
          <w:rFonts w:ascii="Arial" w:hAnsi="Arial" w:cs="Arial"/>
          <w:sz w:val="18"/>
          <w:szCs w:val="18"/>
        </w:rPr>
      </w:pPr>
      <w:r w:rsidRPr="001608E4">
        <w:rPr>
          <w:rFonts w:ascii="Arial" w:hAnsi="Arial" w:cs="Arial"/>
          <w:sz w:val="18"/>
          <w:szCs w:val="18"/>
        </w:rPr>
        <w:t xml:space="preserve">252.246-7003, </w:t>
      </w:r>
      <w:r w:rsidRPr="001608E4">
        <w:rPr>
          <w:rFonts w:ascii="Arial" w:hAnsi="Arial" w:cs="Arial"/>
          <w:color w:val="000000"/>
          <w:sz w:val="18"/>
          <w:szCs w:val="18"/>
        </w:rPr>
        <w:t>Notification of Potential Safety Issues (JUN 2013) (Applies if the Purchase Order is for parts identified as critical safety items; systems and subsystems, assemblies, and subassemblies integral to a system; or repair, maintenance, logistics support, or overhaul services for systems and subsystems, assemblies, subassemblies, and parts integral to a system; change “5 working days” at 252.246-7003(c)(2) to read “3 working days”.)</w:t>
      </w:r>
      <w:r w:rsidRPr="001608E4">
        <w:rPr>
          <w:rFonts w:ascii="Arial" w:hAnsi="Arial" w:cs="Arial"/>
          <w:sz w:val="18"/>
          <w:szCs w:val="18"/>
        </w:rPr>
        <w:t xml:space="preserve"> </w:t>
      </w:r>
    </w:p>
    <w:p w14:paraId="6FE3D777" w14:textId="77777777" w:rsidR="00132BF3" w:rsidRPr="001608E4" w:rsidRDefault="00132BF3" w:rsidP="00132BF3">
      <w:pPr>
        <w:spacing w:after="120"/>
        <w:ind w:left="360"/>
        <w:jc w:val="both"/>
        <w:rPr>
          <w:rFonts w:ascii="Arial" w:hAnsi="Arial" w:cs="Arial"/>
          <w:sz w:val="18"/>
          <w:szCs w:val="18"/>
        </w:rPr>
      </w:pPr>
      <w:r w:rsidRPr="008F2EC7">
        <w:rPr>
          <w:rFonts w:ascii="Arial" w:hAnsi="Arial" w:cs="Arial"/>
          <w:sz w:val="18"/>
          <w:szCs w:val="18"/>
        </w:rPr>
        <w:t>252.246-7007, Contractor Counterfeit Electronic Part Detection and Avoidance System (May 2014</w:t>
      </w:r>
    </w:p>
    <w:p w14:paraId="12CDF395" w14:textId="77777777" w:rsidR="00132BF3" w:rsidRPr="001608E4" w:rsidRDefault="00132BF3" w:rsidP="00132BF3">
      <w:pPr>
        <w:spacing w:after="120"/>
        <w:ind w:left="360"/>
        <w:jc w:val="both"/>
        <w:rPr>
          <w:rFonts w:ascii="Arial" w:hAnsi="Arial" w:cs="Arial"/>
          <w:color w:val="000000"/>
          <w:sz w:val="18"/>
          <w:szCs w:val="18"/>
        </w:rPr>
      </w:pPr>
      <w:r w:rsidRPr="001608E4">
        <w:rPr>
          <w:rFonts w:ascii="Arial" w:hAnsi="Arial" w:cs="Arial"/>
          <w:sz w:val="18"/>
          <w:szCs w:val="18"/>
        </w:rPr>
        <w:t xml:space="preserve">252.247-7023, </w:t>
      </w:r>
      <w:r w:rsidRPr="001608E4">
        <w:rPr>
          <w:rFonts w:ascii="Arial" w:hAnsi="Arial" w:cs="Arial"/>
          <w:color w:val="000000"/>
          <w:sz w:val="18"/>
          <w:szCs w:val="18"/>
        </w:rPr>
        <w:t>Transportation of Supplies by Sea (FEB 2019)</w:t>
      </w:r>
    </w:p>
    <w:p w14:paraId="78D63921" w14:textId="77777777" w:rsidR="004A1A1F" w:rsidRPr="00623894" w:rsidRDefault="004A1A1F">
      <w:pPr>
        <w:tabs>
          <w:tab w:val="left" w:pos="4320"/>
          <w:tab w:val="left" w:pos="5040"/>
          <w:tab w:val="left" w:pos="9270"/>
        </w:tabs>
        <w:rPr>
          <w:rFonts w:ascii="Arial" w:hAnsi="Arial" w:cs="Arial"/>
          <w:sz w:val="18"/>
          <w:szCs w:val="18"/>
          <w:u w:val="single"/>
        </w:rPr>
      </w:pPr>
    </w:p>
    <w:sectPr w:rsidR="004A1A1F" w:rsidRPr="00623894">
      <w:pgSz w:w="12240" w:h="15840" w:code="1"/>
      <w:pgMar w:top="1008" w:right="1440" w:bottom="1008"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53D6" w14:textId="77777777" w:rsidR="002426DF" w:rsidRDefault="002426DF">
      <w:r>
        <w:separator/>
      </w:r>
    </w:p>
  </w:endnote>
  <w:endnote w:type="continuationSeparator" w:id="0">
    <w:p w14:paraId="1C92ADCA" w14:textId="77777777" w:rsidR="002426DF" w:rsidRDefault="002426DF">
      <w:r>
        <w:continuationSeparator/>
      </w:r>
    </w:p>
  </w:endnote>
  <w:endnote w:type="continuationNotice" w:id="1">
    <w:p w14:paraId="2ABB45B6" w14:textId="77777777" w:rsidR="002426DF" w:rsidRDefault="00242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lior">
    <w:altName w:val="Calibri"/>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ektronix">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6D8C" w14:textId="57D9F546" w:rsidR="00F66AC1" w:rsidRDefault="765A0486" w:rsidP="00CA4020">
    <w:pPr>
      <w:pStyle w:val="Footer"/>
      <w:tabs>
        <w:tab w:val="clear" w:pos="4320"/>
        <w:tab w:val="clear" w:pos="8640"/>
        <w:tab w:val="left" w:pos="7650"/>
        <w:tab w:val="right" w:pos="10980"/>
      </w:tabs>
      <w:jc w:val="center"/>
      <w:rPr>
        <w:rFonts w:ascii="Tektronix" w:hAnsi="Tektronix" w:cs="Tektronix"/>
        <w:sz w:val="36"/>
        <w:szCs w:val="36"/>
      </w:rPr>
    </w:pPr>
    <w:r>
      <w:rPr>
        <w:rFonts w:ascii="Arial" w:hAnsi="Arial" w:cs="Arial"/>
        <w:sz w:val="16"/>
        <w:szCs w:val="16"/>
      </w:rPr>
      <w:t xml:space="preserve">April 2025 </w:t>
    </w:r>
    <w:r w:rsidR="00CB00FE" w:rsidRPr="00CB00FE">
      <w:rPr>
        <w:rFonts w:ascii="Arial" w:hAnsi="Arial" w:cs="Arial"/>
        <w:sz w:val="16"/>
        <w:szCs w:val="16"/>
      </w:rPr>
      <w:ptab w:relativeTo="margin" w:alignment="center" w:leader="none"/>
    </w:r>
    <w:r w:rsidRPr="00CB00FE">
      <w:rPr>
        <w:rFonts w:ascii="Arial" w:hAnsi="Arial" w:cs="Arial"/>
        <w:sz w:val="16"/>
        <w:szCs w:val="16"/>
      </w:rPr>
      <w:t>Page</w:t>
    </w:r>
    <w:r w:rsidR="00CB00FE" w:rsidRPr="00CB00FE">
      <w:rPr>
        <w:rFonts w:ascii="Arial" w:hAnsi="Arial" w:cs="Arial"/>
        <w:sz w:val="16"/>
        <w:szCs w:val="16"/>
      </w:rPr>
      <w:t xml:space="preserve"> </w:t>
    </w:r>
    <w:r w:rsidR="00CB00FE" w:rsidRPr="00CB00FE">
      <w:rPr>
        <w:rFonts w:ascii="Arial" w:hAnsi="Arial" w:cs="Arial"/>
        <w:b/>
        <w:bCs/>
        <w:sz w:val="16"/>
        <w:szCs w:val="16"/>
      </w:rPr>
      <w:fldChar w:fldCharType="begin"/>
    </w:r>
    <w:r w:rsidR="00CB00FE" w:rsidRPr="00CB00FE">
      <w:rPr>
        <w:rFonts w:ascii="Arial" w:hAnsi="Arial" w:cs="Arial"/>
        <w:b/>
        <w:bCs/>
        <w:sz w:val="16"/>
        <w:szCs w:val="16"/>
      </w:rPr>
      <w:instrText xml:space="preserve"> PAGE  \* Arabic  \* MERGEFORMAT </w:instrText>
    </w:r>
    <w:r w:rsidR="00CB00FE" w:rsidRPr="00CB00FE">
      <w:rPr>
        <w:rFonts w:ascii="Arial" w:hAnsi="Arial" w:cs="Arial"/>
        <w:b/>
        <w:bCs/>
        <w:sz w:val="16"/>
        <w:szCs w:val="16"/>
      </w:rPr>
      <w:fldChar w:fldCharType="separate"/>
    </w:r>
    <w:r w:rsidR="00CB00FE" w:rsidRPr="00CB00FE">
      <w:rPr>
        <w:rFonts w:ascii="Arial" w:hAnsi="Arial" w:cs="Arial"/>
        <w:b/>
        <w:bCs/>
        <w:sz w:val="16"/>
        <w:szCs w:val="16"/>
      </w:rPr>
      <w:t>1</w:t>
    </w:r>
    <w:r w:rsidR="00CB00FE" w:rsidRPr="00CB00FE">
      <w:rPr>
        <w:rFonts w:ascii="Arial" w:hAnsi="Arial" w:cs="Arial"/>
        <w:b/>
        <w:bCs/>
        <w:sz w:val="16"/>
        <w:szCs w:val="16"/>
      </w:rPr>
      <w:fldChar w:fldCharType="end"/>
    </w:r>
    <w:r w:rsidR="00CB00FE" w:rsidRPr="00CB00FE">
      <w:rPr>
        <w:rFonts w:ascii="Arial" w:hAnsi="Arial" w:cs="Arial"/>
        <w:sz w:val="16"/>
        <w:szCs w:val="16"/>
      </w:rPr>
      <w:t xml:space="preserve"> of </w:t>
    </w:r>
    <w:r w:rsidR="00CB00FE" w:rsidRPr="00CB00FE">
      <w:rPr>
        <w:rFonts w:ascii="Arial" w:hAnsi="Arial" w:cs="Arial"/>
        <w:b/>
        <w:bCs/>
        <w:sz w:val="16"/>
        <w:szCs w:val="16"/>
      </w:rPr>
      <w:fldChar w:fldCharType="begin"/>
    </w:r>
    <w:r w:rsidR="00CB00FE" w:rsidRPr="00CB00FE">
      <w:rPr>
        <w:rFonts w:ascii="Arial" w:hAnsi="Arial" w:cs="Arial"/>
        <w:b/>
        <w:bCs/>
        <w:sz w:val="16"/>
        <w:szCs w:val="16"/>
      </w:rPr>
      <w:instrText xml:space="preserve"> NUMPAGES  \* Arabic  \* MERGEFORMAT </w:instrText>
    </w:r>
    <w:r w:rsidR="00CB00FE" w:rsidRPr="00CB00FE">
      <w:rPr>
        <w:rFonts w:ascii="Arial" w:hAnsi="Arial" w:cs="Arial"/>
        <w:b/>
        <w:bCs/>
        <w:sz w:val="16"/>
        <w:szCs w:val="16"/>
      </w:rPr>
      <w:fldChar w:fldCharType="separate"/>
    </w:r>
    <w:r w:rsidR="00CB00FE" w:rsidRPr="00CB00FE">
      <w:rPr>
        <w:rFonts w:ascii="Arial" w:hAnsi="Arial" w:cs="Arial"/>
        <w:b/>
        <w:bCs/>
        <w:sz w:val="16"/>
        <w:szCs w:val="16"/>
      </w:rPr>
      <w:t>2</w:t>
    </w:r>
    <w:r w:rsidR="00CB00FE" w:rsidRPr="00CB00FE">
      <w:rPr>
        <w:rFonts w:ascii="Arial" w:hAnsi="Arial" w:cs="Arial"/>
        <w:b/>
        <w:bCs/>
        <w:sz w:val="16"/>
        <w:szCs w:val="16"/>
      </w:rPr>
      <w:fldChar w:fldCharType="end"/>
    </w:r>
    <w:r w:rsidR="00CB00FE" w:rsidRPr="00CB00FE">
      <w:rPr>
        <w:rFonts w:ascii="Arial" w:hAnsi="Arial" w:cs="Arial"/>
        <w:sz w:val="16"/>
        <w:szCs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9612" w14:textId="016D694A" w:rsidR="00F66AC1" w:rsidRDefault="00CB00FE" w:rsidP="00CA4020">
    <w:pPr>
      <w:pStyle w:val="Footer"/>
      <w:tabs>
        <w:tab w:val="clear" w:pos="4320"/>
        <w:tab w:val="clear" w:pos="8640"/>
        <w:tab w:val="left" w:pos="7740"/>
        <w:tab w:val="right" w:pos="10980"/>
      </w:tabs>
      <w:jc w:val="center"/>
      <w:rPr>
        <w:sz w:val="16"/>
        <w:szCs w:val="16"/>
      </w:rPr>
    </w:pPr>
    <w:r>
      <w:rPr>
        <w:sz w:val="16"/>
        <w:szCs w:val="16"/>
      </w:rPr>
      <w:t>June 2024</w:t>
    </w:r>
    <w:r w:rsidRPr="00CB00FE">
      <w:rPr>
        <w:sz w:val="16"/>
        <w:szCs w:val="16"/>
      </w:rPr>
      <w:ptab w:relativeTo="margin" w:alignment="center" w:leader="none"/>
    </w:r>
    <w:r w:rsidRPr="00CB00FE">
      <w:rPr>
        <w:sz w:val="16"/>
        <w:szCs w:val="16"/>
      </w:rPr>
      <w:t xml:space="preserve">Page </w:t>
    </w:r>
    <w:r w:rsidRPr="00CB00FE">
      <w:rPr>
        <w:b/>
        <w:bCs/>
        <w:sz w:val="16"/>
        <w:szCs w:val="16"/>
      </w:rPr>
      <w:fldChar w:fldCharType="begin"/>
    </w:r>
    <w:r w:rsidRPr="00CB00FE">
      <w:rPr>
        <w:b/>
        <w:bCs/>
        <w:sz w:val="16"/>
        <w:szCs w:val="16"/>
      </w:rPr>
      <w:instrText xml:space="preserve"> PAGE  \* Arabic  \* MERGEFORMAT </w:instrText>
    </w:r>
    <w:r w:rsidRPr="00CB00FE">
      <w:rPr>
        <w:b/>
        <w:bCs/>
        <w:sz w:val="16"/>
        <w:szCs w:val="16"/>
      </w:rPr>
      <w:fldChar w:fldCharType="separate"/>
    </w:r>
    <w:r w:rsidRPr="00CB00FE">
      <w:rPr>
        <w:b/>
        <w:bCs/>
        <w:sz w:val="16"/>
        <w:szCs w:val="16"/>
      </w:rPr>
      <w:t>1</w:t>
    </w:r>
    <w:r w:rsidRPr="00CB00FE">
      <w:rPr>
        <w:b/>
        <w:bCs/>
        <w:sz w:val="16"/>
        <w:szCs w:val="16"/>
      </w:rPr>
      <w:fldChar w:fldCharType="end"/>
    </w:r>
    <w:r w:rsidRPr="00CB00FE">
      <w:rPr>
        <w:sz w:val="16"/>
        <w:szCs w:val="16"/>
      </w:rPr>
      <w:t xml:space="preserve"> of </w:t>
    </w:r>
    <w:r w:rsidRPr="00CB00FE">
      <w:rPr>
        <w:b/>
        <w:bCs/>
        <w:sz w:val="16"/>
        <w:szCs w:val="16"/>
      </w:rPr>
      <w:fldChar w:fldCharType="begin"/>
    </w:r>
    <w:r w:rsidRPr="00CB00FE">
      <w:rPr>
        <w:b/>
        <w:bCs/>
        <w:sz w:val="16"/>
        <w:szCs w:val="16"/>
      </w:rPr>
      <w:instrText xml:space="preserve"> NUMPAGES  \* Arabic  \* MERGEFORMAT </w:instrText>
    </w:r>
    <w:r w:rsidRPr="00CB00FE">
      <w:rPr>
        <w:b/>
        <w:bCs/>
        <w:sz w:val="16"/>
        <w:szCs w:val="16"/>
      </w:rPr>
      <w:fldChar w:fldCharType="separate"/>
    </w:r>
    <w:r w:rsidRPr="00CB00FE">
      <w:rPr>
        <w:b/>
        <w:bCs/>
        <w:sz w:val="16"/>
        <w:szCs w:val="16"/>
      </w:rPr>
      <w:t>2</w:t>
    </w:r>
    <w:r w:rsidRPr="00CB00FE">
      <w:rPr>
        <w:b/>
        <w:bCs/>
        <w:sz w:val="16"/>
        <w:szCs w:val="16"/>
      </w:rPr>
      <w:fldChar w:fldCharType="end"/>
    </w:r>
    <w:r w:rsidRPr="00CB00FE">
      <w:rPr>
        <w:sz w:val="16"/>
        <w:szCs w:val="16"/>
      </w:rPr>
      <w:ptab w:relativeTo="margin" w:alignment="right" w:leader="none"/>
    </w:r>
    <w:r>
      <w:rPr>
        <w:sz w:val="16"/>
        <w:szCs w:val="16"/>
      </w:rPr>
      <w:t>Elektro Automatik,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469D" w14:textId="77777777" w:rsidR="002426DF" w:rsidRDefault="002426DF">
      <w:r>
        <w:separator/>
      </w:r>
    </w:p>
  </w:footnote>
  <w:footnote w:type="continuationSeparator" w:id="0">
    <w:p w14:paraId="2098F5BE" w14:textId="77777777" w:rsidR="002426DF" w:rsidRDefault="002426DF">
      <w:r>
        <w:continuationSeparator/>
      </w:r>
    </w:p>
  </w:footnote>
  <w:footnote w:type="continuationNotice" w:id="1">
    <w:p w14:paraId="6964CD54" w14:textId="77777777" w:rsidR="002426DF" w:rsidRDefault="002426D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AE6FBA4"/>
    <w:lvl w:ilvl="0">
      <w:numFmt w:val="bullet"/>
      <w:lvlText w:val="*"/>
      <w:lvlJc w:val="left"/>
    </w:lvl>
  </w:abstractNum>
  <w:abstractNum w:abstractNumId="1" w15:restartNumberingAfterBreak="0">
    <w:nsid w:val="0E50AC1B"/>
    <w:multiLevelType w:val="hybridMultilevel"/>
    <w:tmpl w:val="D8BE99C2"/>
    <w:lvl w:ilvl="0" w:tplc="500E8634">
      <w:start w:val="1"/>
      <w:numFmt w:val="bullet"/>
      <w:lvlText w:val="-"/>
      <w:lvlJc w:val="left"/>
      <w:pPr>
        <w:ind w:left="720" w:hanging="360"/>
      </w:pPr>
      <w:rPr>
        <w:rFonts w:ascii="Calibri" w:hAnsi="Calibri" w:hint="default"/>
      </w:rPr>
    </w:lvl>
    <w:lvl w:ilvl="1" w:tplc="0D062224">
      <w:start w:val="1"/>
      <w:numFmt w:val="bullet"/>
      <w:lvlText w:val="o"/>
      <w:lvlJc w:val="left"/>
      <w:pPr>
        <w:ind w:left="1440" w:hanging="360"/>
      </w:pPr>
      <w:rPr>
        <w:rFonts w:ascii="Courier New" w:hAnsi="Courier New" w:hint="default"/>
      </w:rPr>
    </w:lvl>
    <w:lvl w:ilvl="2" w:tplc="460ED63C">
      <w:start w:val="1"/>
      <w:numFmt w:val="bullet"/>
      <w:lvlText w:val=""/>
      <w:lvlJc w:val="left"/>
      <w:pPr>
        <w:ind w:left="2160" w:hanging="360"/>
      </w:pPr>
      <w:rPr>
        <w:rFonts w:ascii="Wingdings" w:hAnsi="Wingdings" w:hint="default"/>
      </w:rPr>
    </w:lvl>
    <w:lvl w:ilvl="3" w:tplc="687CE218">
      <w:start w:val="1"/>
      <w:numFmt w:val="bullet"/>
      <w:lvlText w:val=""/>
      <w:lvlJc w:val="left"/>
      <w:pPr>
        <w:ind w:left="2880" w:hanging="360"/>
      </w:pPr>
      <w:rPr>
        <w:rFonts w:ascii="Symbol" w:hAnsi="Symbol" w:hint="default"/>
      </w:rPr>
    </w:lvl>
    <w:lvl w:ilvl="4" w:tplc="6B90E21A">
      <w:start w:val="1"/>
      <w:numFmt w:val="bullet"/>
      <w:lvlText w:val="o"/>
      <w:lvlJc w:val="left"/>
      <w:pPr>
        <w:ind w:left="3600" w:hanging="360"/>
      </w:pPr>
      <w:rPr>
        <w:rFonts w:ascii="Courier New" w:hAnsi="Courier New" w:hint="default"/>
      </w:rPr>
    </w:lvl>
    <w:lvl w:ilvl="5" w:tplc="B680C6DE">
      <w:start w:val="1"/>
      <w:numFmt w:val="bullet"/>
      <w:lvlText w:val=""/>
      <w:lvlJc w:val="left"/>
      <w:pPr>
        <w:ind w:left="4320" w:hanging="360"/>
      </w:pPr>
      <w:rPr>
        <w:rFonts w:ascii="Wingdings" w:hAnsi="Wingdings" w:hint="default"/>
      </w:rPr>
    </w:lvl>
    <w:lvl w:ilvl="6" w:tplc="D5FEED0C">
      <w:start w:val="1"/>
      <w:numFmt w:val="bullet"/>
      <w:lvlText w:val=""/>
      <w:lvlJc w:val="left"/>
      <w:pPr>
        <w:ind w:left="5040" w:hanging="360"/>
      </w:pPr>
      <w:rPr>
        <w:rFonts w:ascii="Symbol" w:hAnsi="Symbol" w:hint="default"/>
      </w:rPr>
    </w:lvl>
    <w:lvl w:ilvl="7" w:tplc="9484F8CC">
      <w:start w:val="1"/>
      <w:numFmt w:val="bullet"/>
      <w:lvlText w:val="o"/>
      <w:lvlJc w:val="left"/>
      <w:pPr>
        <w:ind w:left="5760" w:hanging="360"/>
      </w:pPr>
      <w:rPr>
        <w:rFonts w:ascii="Courier New" w:hAnsi="Courier New" w:hint="default"/>
      </w:rPr>
    </w:lvl>
    <w:lvl w:ilvl="8" w:tplc="6CEC0192">
      <w:start w:val="1"/>
      <w:numFmt w:val="bullet"/>
      <w:lvlText w:val=""/>
      <w:lvlJc w:val="left"/>
      <w:pPr>
        <w:ind w:left="6480" w:hanging="360"/>
      </w:pPr>
      <w:rPr>
        <w:rFonts w:ascii="Wingdings" w:hAnsi="Wingdings" w:hint="default"/>
      </w:rPr>
    </w:lvl>
  </w:abstractNum>
  <w:abstractNum w:abstractNumId="2" w15:restartNumberingAfterBreak="0">
    <w:nsid w:val="1B009223"/>
    <w:multiLevelType w:val="hybridMultilevel"/>
    <w:tmpl w:val="E7F4192E"/>
    <w:lvl w:ilvl="0" w:tplc="70B650AC">
      <w:start w:val="2"/>
      <w:numFmt w:val="lowerLetter"/>
      <w:lvlText w:val="(%1)"/>
      <w:lvlJc w:val="left"/>
      <w:pPr>
        <w:ind w:left="720" w:hanging="360"/>
      </w:pPr>
    </w:lvl>
    <w:lvl w:ilvl="1" w:tplc="5570348C">
      <w:start w:val="1"/>
      <w:numFmt w:val="lowerLetter"/>
      <w:lvlText w:val="%2."/>
      <w:lvlJc w:val="left"/>
      <w:pPr>
        <w:ind w:left="1440" w:hanging="360"/>
      </w:pPr>
    </w:lvl>
    <w:lvl w:ilvl="2" w:tplc="3F24B516">
      <w:start w:val="1"/>
      <w:numFmt w:val="lowerRoman"/>
      <w:lvlText w:val="%3."/>
      <w:lvlJc w:val="right"/>
      <w:pPr>
        <w:ind w:left="2160" w:hanging="180"/>
      </w:pPr>
    </w:lvl>
    <w:lvl w:ilvl="3" w:tplc="A15E2EAA">
      <w:start w:val="1"/>
      <w:numFmt w:val="decimal"/>
      <w:lvlText w:val="%4."/>
      <w:lvlJc w:val="left"/>
      <w:pPr>
        <w:ind w:left="2880" w:hanging="360"/>
      </w:pPr>
    </w:lvl>
    <w:lvl w:ilvl="4" w:tplc="B24240AA">
      <w:start w:val="1"/>
      <w:numFmt w:val="lowerLetter"/>
      <w:lvlText w:val="%5."/>
      <w:lvlJc w:val="left"/>
      <w:pPr>
        <w:ind w:left="3600" w:hanging="360"/>
      </w:pPr>
    </w:lvl>
    <w:lvl w:ilvl="5" w:tplc="070808AA">
      <w:start w:val="1"/>
      <w:numFmt w:val="lowerRoman"/>
      <w:lvlText w:val="%6."/>
      <w:lvlJc w:val="right"/>
      <w:pPr>
        <w:ind w:left="4320" w:hanging="180"/>
      </w:pPr>
    </w:lvl>
    <w:lvl w:ilvl="6" w:tplc="C5946264">
      <w:start w:val="1"/>
      <w:numFmt w:val="decimal"/>
      <w:lvlText w:val="%7."/>
      <w:lvlJc w:val="left"/>
      <w:pPr>
        <w:ind w:left="5040" w:hanging="360"/>
      </w:pPr>
    </w:lvl>
    <w:lvl w:ilvl="7" w:tplc="22B0420E">
      <w:start w:val="1"/>
      <w:numFmt w:val="lowerLetter"/>
      <w:lvlText w:val="%8."/>
      <w:lvlJc w:val="left"/>
      <w:pPr>
        <w:ind w:left="5760" w:hanging="360"/>
      </w:pPr>
    </w:lvl>
    <w:lvl w:ilvl="8" w:tplc="607A821A">
      <w:start w:val="1"/>
      <w:numFmt w:val="lowerRoman"/>
      <w:lvlText w:val="%9."/>
      <w:lvlJc w:val="right"/>
      <w:pPr>
        <w:ind w:left="6480" w:hanging="180"/>
      </w:pPr>
    </w:lvl>
  </w:abstractNum>
  <w:abstractNum w:abstractNumId="3" w15:restartNumberingAfterBreak="0">
    <w:nsid w:val="1ED802BB"/>
    <w:multiLevelType w:val="hybridMultilevel"/>
    <w:tmpl w:val="AAB46F70"/>
    <w:lvl w:ilvl="0" w:tplc="21C86E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17241"/>
    <w:multiLevelType w:val="hybridMultilevel"/>
    <w:tmpl w:val="61F46DC2"/>
    <w:lvl w:ilvl="0" w:tplc="FFFFFFFF">
      <w:start w:val="2"/>
      <w:numFmt w:val="lowerLetter"/>
      <w:lvlText w:val="(%1)"/>
      <w:lvlJc w:val="left"/>
      <w:pPr>
        <w:ind w:left="720" w:hanging="360"/>
      </w:pPr>
      <w:rPr>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92B36"/>
    <w:multiLevelType w:val="singleLevel"/>
    <w:tmpl w:val="0809000F"/>
    <w:lvl w:ilvl="0">
      <w:start w:val="20"/>
      <w:numFmt w:val="decimal"/>
      <w:lvlText w:val="%1."/>
      <w:lvlJc w:val="left"/>
      <w:pPr>
        <w:tabs>
          <w:tab w:val="num" w:pos="360"/>
        </w:tabs>
        <w:ind w:left="360" w:hanging="360"/>
      </w:pPr>
      <w:rPr>
        <w:rFonts w:hint="default"/>
      </w:rPr>
    </w:lvl>
  </w:abstractNum>
  <w:abstractNum w:abstractNumId="6" w15:restartNumberingAfterBreak="0">
    <w:nsid w:val="2B15009F"/>
    <w:multiLevelType w:val="hybridMultilevel"/>
    <w:tmpl w:val="CCBAAE18"/>
    <w:lvl w:ilvl="0" w:tplc="49022E6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36F10082"/>
    <w:multiLevelType w:val="hybridMultilevel"/>
    <w:tmpl w:val="F6385286"/>
    <w:lvl w:ilvl="0" w:tplc="E1425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A6036"/>
    <w:multiLevelType w:val="multilevel"/>
    <w:tmpl w:val="F08A6FA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val="0"/>
        <w:color w:val="00000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44133B0"/>
    <w:multiLevelType w:val="hybridMultilevel"/>
    <w:tmpl w:val="BBAC4CEE"/>
    <w:lvl w:ilvl="0" w:tplc="9EEAF2E2">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CD302C"/>
    <w:multiLevelType w:val="hybridMultilevel"/>
    <w:tmpl w:val="83480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4E7C18"/>
    <w:multiLevelType w:val="hybridMultilevel"/>
    <w:tmpl w:val="DD2C5DCC"/>
    <w:lvl w:ilvl="0" w:tplc="86C47AC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D00D9"/>
    <w:multiLevelType w:val="hybridMultilevel"/>
    <w:tmpl w:val="997C937E"/>
    <w:lvl w:ilvl="0" w:tplc="586A6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066F1"/>
    <w:multiLevelType w:val="hybridMultilevel"/>
    <w:tmpl w:val="AC6C59DA"/>
    <w:lvl w:ilvl="0" w:tplc="E7508B4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E0038"/>
    <w:multiLevelType w:val="hybridMultilevel"/>
    <w:tmpl w:val="3BBC0340"/>
    <w:lvl w:ilvl="0" w:tplc="E22C3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B5896"/>
    <w:multiLevelType w:val="hybridMultilevel"/>
    <w:tmpl w:val="6A8AC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72B57"/>
    <w:multiLevelType w:val="hybridMultilevel"/>
    <w:tmpl w:val="BB58D444"/>
    <w:lvl w:ilvl="0" w:tplc="9EA6BB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274318">
    <w:abstractNumId w:val="2"/>
  </w:num>
  <w:num w:numId="2" w16cid:durableId="1953777168">
    <w:abstractNumId w:val="0"/>
    <w:lvlOverride w:ilvl="0">
      <w:lvl w:ilvl="0">
        <w:start w:val="1"/>
        <w:numFmt w:val="bullet"/>
        <w:lvlText w:val=""/>
        <w:legacy w:legacy="1" w:legacySpace="120" w:legacyIndent="360"/>
        <w:lvlJc w:val="left"/>
        <w:pPr>
          <w:ind w:left="360" w:hanging="360"/>
        </w:pPr>
        <w:rPr>
          <w:rFonts w:ascii="Symbol" w:hAnsi="Symbol" w:cs="Symbol" w:hint="default"/>
        </w:rPr>
      </w:lvl>
    </w:lvlOverride>
  </w:num>
  <w:num w:numId="3" w16cid:durableId="1455980012">
    <w:abstractNumId w:val="5"/>
  </w:num>
  <w:num w:numId="4" w16cid:durableId="300884468">
    <w:abstractNumId w:val="10"/>
  </w:num>
  <w:num w:numId="5" w16cid:durableId="911083844">
    <w:abstractNumId w:val="7"/>
  </w:num>
  <w:num w:numId="6" w16cid:durableId="536771317">
    <w:abstractNumId w:val="14"/>
  </w:num>
  <w:num w:numId="7" w16cid:durableId="467627014">
    <w:abstractNumId w:val="3"/>
  </w:num>
  <w:num w:numId="8" w16cid:durableId="1987589092">
    <w:abstractNumId w:val="15"/>
  </w:num>
  <w:num w:numId="9" w16cid:durableId="1681421037">
    <w:abstractNumId w:val="12"/>
  </w:num>
  <w:num w:numId="10" w16cid:durableId="1582446286">
    <w:abstractNumId w:val="4"/>
  </w:num>
  <w:num w:numId="11" w16cid:durableId="762141574">
    <w:abstractNumId w:val="1"/>
  </w:num>
  <w:num w:numId="12" w16cid:durableId="355277156">
    <w:abstractNumId w:val="11"/>
  </w:num>
  <w:num w:numId="13" w16cid:durableId="644242947">
    <w:abstractNumId w:val="16"/>
  </w:num>
  <w:num w:numId="14" w16cid:durableId="1321810434">
    <w:abstractNumId w:val="6"/>
  </w:num>
  <w:num w:numId="15" w16cid:durableId="1215892335">
    <w:abstractNumId w:val="9"/>
  </w:num>
  <w:num w:numId="16" w16cid:durableId="1915045677">
    <w:abstractNumId w:val="13"/>
  </w:num>
  <w:num w:numId="17" w16cid:durableId="2130468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44"/>
    <w:rsid w:val="0000183C"/>
    <w:rsid w:val="00001C04"/>
    <w:rsid w:val="00005585"/>
    <w:rsid w:val="000065FB"/>
    <w:rsid w:val="00006D17"/>
    <w:rsid w:val="000073B2"/>
    <w:rsid w:val="000105B8"/>
    <w:rsid w:val="00014C46"/>
    <w:rsid w:val="0001557B"/>
    <w:rsid w:val="00015718"/>
    <w:rsid w:val="00016D8B"/>
    <w:rsid w:val="000203A6"/>
    <w:rsid w:val="00022294"/>
    <w:rsid w:val="00022E93"/>
    <w:rsid w:val="000234A8"/>
    <w:rsid w:val="00023B60"/>
    <w:rsid w:val="00023F15"/>
    <w:rsid w:val="00026F04"/>
    <w:rsid w:val="00037885"/>
    <w:rsid w:val="00040C08"/>
    <w:rsid w:val="000448FE"/>
    <w:rsid w:val="000459B9"/>
    <w:rsid w:val="00046C21"/>
    <w:rsid w:val="000525BB"/>
    <w:rsid w:val="0005519E"/>
    <w:rsid w:val="00064517"/>
    <w:rsid w:val="00065EAD"/>
    <w:rsid w:val="00067176"/>
    <w:rsid w:val="000706F3"/>
    <w:rsid w:val="0007300F"/>
    <w:rsid w:val="000A0511"/>
    <w:rsid w:val="000A34BA"/>
    <w:rsid w:val="000A49B3"/>
    <w:rsid w:val="000A697E"/>
    <w:rsid w:val="000B05C7"/>
    <w:rsid w:val="000B308E"/>
    <w:rsid w:val="000B32C8"/>
    <w:rsid w:val="000C04BD"/>
    <w:rsid w:val="000C68BB"/>
    <w:rsid w:val="000D13C0"/>
    <w:rsid w:val="000D1AB3"/>
    <w:rsid w:val="000D227B"/>
    <w:rsid w:val="000D51B5"/>
    <w:rsid w:val="000D625E"/>
    <w:rsid w:val="000F14DC"/>
    <w:rsid w:val="000F2D38"/>
    <w:rsid w:val="000F4590"/>
    <w:rsid w:val="001044DA"/>
    <w:rsid w:val="00110521"/>
    <w:rsid w:val="001125C1"/>
    <w:rsid w:val="001151FE"/>
    <w:rsid w:val="001152AB"/>
    <w:rsid w:val="0011596B"/>
    <w:rsid w:val="00115FE4"/>
    <w:rsid w:val="001265C0"/>
    <w:rsid w:val="0013078C"/>
    <w:rsid w:val="00132BF3"/>
    <w:rsid w:val="0013334A"/>
    <w:rsid w:val="001376E1"/>
    <w:rsid w:val="001403B8"/>
    <w:rsid w:val="00140EF6"/>
    <w:rsid w:val="001443BA"/>
    <w:rsid w:val="00145365"/>
    <w:rsid w:val="00150034"/>
    <w:rsid w:val="0015073C"/>
    <w:rsid w:val="00151A3B"/>
    <w:rsid w:val="00161834"/>
    <w:rsid w:val="00162FCC"/>
    <w:rsid w:val="00172902"/>
    <w:rsid w:val="00180D0E"/>
    <w:rsid w:val="00183469"/>
    <w:rsid w:val="00184B8A"/>
    <w:rsid w:val="00185D43"/>
    <w:rsid w:val="00193D6C"/>
    <w:rsid w:val="00194D44"/>
    <w:rsid w:val="001A24EE"/>
    <w:rsid w:val="001A24F7"/>
    <w:rsid w:val="001A326C"/>
    <w:rsid w:val="001A79E9"/>
    <w:rsid w:val="001B139B"/>
    <w:rsid w:val="001B2623"/>
    <w:rsid w:val="001B42DF"/>
    <w:rsid w:val="001B5853"/>
    <w:rsid w:val="001C00D3"/>
    <w:rsid w:val="001C2684"/>
    <w:rsid w:val="001C39B4"/>
    <w:rsid w:val="001D7436"/>
    <w:rsid w:val="001E20E2"/>
    <w:rsid w:val="001F0DBC"/>
    <w:rsid w:val="001F1B40"/>
    <w:rsid w:val="001F1B79"/>
    <w:rsid w:val="001F2F43"/>
    <w:rsid w:val="001F30CA"/>
    <w:rsid w:val="001F3ED7"/>
    <w:rsid w:val="0020410A"/>
    <w:rsid w:val="00204790"/>
    <w:rsid w:val="00205111"/>
    <w:rsid w:val="00205859"/>
    <w:rsid w:val="0021500C"/>
    <w:rsid w:val="0021539A"/>
    <w:rsid w:val="00215A18"/>
    <w:rsid w:val="00217887"/>
    <w:rsid w:val="002206C0"/>
    <w:rsid w:val="00221A61"/>
    <w:rsid w:val="00221F72"/>
    <w:rsid w:val="002265F5"/>
    <w:rsid w:val="00227029"/>
    <w:rsid w:val="00230376"/>
    <w:rsid w:val="00231F50"/>
    <w:rsid w:val="0023253E"/>
    <w:rsid w:val="0023331E"/>
    <w:rsid w:val="00237471"/>
    <w:rsid w:val="00242688"/>
    <w:rsid w:val="002426DF"/>
    <w:rsid w:val="002505C5"/>
    <w:rsid w:val="002546C6"/>
    <w:rsid w:val="00260099"/>
    <w:rsid w:val="00262696"/>
    <w:rsid w:val="00263CB3"/>
    <w:rsid w:val="002738E2"/>
    <w:rsid w:val="00280495"/>
    <w:rsid w:val="0028224E"/>
    <w:rsid w:val="0028298C"/>
    <w:rsid w:val="00284B7F"/>
    <w:rsid w:val="00290411"/>
    <w:rsid w:val="002A248B"/>
    <w:rsid w:val="002B2740"/>
    <w:rsid w:val="002B2DA9"/>
    <w:rsid w:val="002B3DC0"/>
    <w:rsid w:val="002C12A0"/>
    <w:rsid w:val="002C3BC1"/>
    <w:rsid w:val="002C4666"/>
    <w:rsid w:val="002C6DB1"/>
    <w:rsid w:val="002C6E0F"/>
    <w:rsid w:val="002D061A"/>
    <w:rsid w:val="002D261F"/>
    <w:rsid w:val="002D5D3A"/>
    <w:rsid w:val="002E09D4"/>
    <w:rsid w:val="002E17B7"/>
    <w:rsid w:val="002E406E"/>
    <w:rsid w:val="002E5AFC"/>
    <w:rsid w:val="002F055C"/>
    <w:rsid w:val="0030177E"/>
    <w:rsid w:val="003024B5"/>
    <w:rsid w:val="00303F15"/>
    <w:rsid w:val="00306E40"/>
    <w:rsid w:val="0031285F"/>
    <w:rsid w:val="0031510F"/>
    <w:rsid w:val="00315B80"/>
    <w:rsid w:val="00327E23"/>
    <w:rsid w:val="00334C50"/>
    <w:rsid w:val="00340C0E"/>
    <w:rsid w:val="00346124"/>
    <w:rsid w:val="00352172"/>
    <w:rsid w:val="00357111"/>
    <w:rsid w:val="003650FB"/>
    <w:rsid w:val="003719D3"/>
    <w:rsid w:val="00372A19"/>
    <w:rsid w:val="003745E5"/>
    <w:rsid w:val="00377324"/>
    <w:rsid w:val="00377861"/>
    <w:rsid w:val="00381693"/>
    <w:rsid w:val="0038235D"/>
    <w:rsid w:val="003823D9"/>
    <w:rsid w:val="00384209"/>
    <w:rsid w:val="003860CF"/>
    <w:rsid w:val="003865CD"/>
    <w:rsid w:val="00395F5C"/>
    <w:rsid w:val="003974FE"/>
    <w:rsid w:val="003A6348"/>
    <w:rsid w:val="003B0282"/>
    <w:rsid w:val="003B5F3B"/>
    <w:rsid w:val="003B7DA9"/>
    <w:rsid w:val="003C1D2F"/>
    <w:rsid w:val="003C51BC"/>
    <w:rsid w:val="003D0351"/>
    <w:rsid w:val="003D2A14"/>
    <w:rsid w:val="003D30D6"/>
    <w:rsid w:val="003D3D02"/>
    <w:rsid w:val="003D4858"/>
    <w:rsid w:val="003D4C18"/>
    <w:rsid w:val="003D53B4"/>
    <w:rsid w:val="003E3927"/>
    <w:rsid w:val="003E77C6"/>
    <w:rsid w:val="003F116A"/>
    <w:rsid w:val="003F43E7"/>
    <w:rsid w:val="003F4F72"/>
    <w:rsid w:val="003F6E8E"/>
    <w:rsid w:val="0040049F"/>
    <w:rsid w:val="0040226A"/>
    <w:rsid w:val="00402D8B"/>
    <w:rsid w:val="00411D01"/>
    <w:rsid w:val="00413C57"/>
    <w:rsid w:val="00413E82"/>
    <w:rsid w:val="00414E3E"/>
    <w:rsid w:val="004151AB"/>
    <w:rsid w:val="0041775B"/>
    <w:rsid w:val="004243F0"/>
    <w:rsid w:val="00431500"/>
    <w:rsid w:val="004340AB"/>
    <w:rsid w:val="004342E3"/>
    <w:rsid w:val="0043432A"/>
    <w:rsid w:val="004408E9"/>
    <w:rsid w:val="0044190D"/>
    <w:rsid w:val="00444D16"/>
    <w:rsid w:val="00445E38"/>
    <w:rsid w:val="0045118F"/>
    <w:rsid w:val="00451681"/>
    <w:rsid w:val="0045301E"/>
    <w:rsid w:val="00453105"/>
    <w:rsid w:val="004613E5"/>
    <w:rsid w:val="00461B6E"/>
    <w:rsid w:val="00464950"/>
    <w:rsid w:val="00465CC7"/>
    <w:rsid w:val="00466910"/>
    <w:rsid w:val="004710FA"/>
    <w:rsid w:val="00471F45"/>
    <w:rsid w:val="004751CC"/>
    <w:rsid w:val="00483F79"/>
    <w:rsid w:val="00484551"/>
    <w:rsid w:val="0049176F"/>
    <w:rsid w:val="00493DE5"/>
    <w:rsid w:val="004A0DDC"/>
    <w:rsid w:val="004A1A1F"/>
    <w:rsid w:val="004A1EAF"/>
    <w:rsid w:val="004A28BB"/>
    <w:rsid w:val="004A3584"/>
    <w:rsid w:val="004A7B8D"/>
    <w:rsid w:val="004B0F44"/>
    <w:rsid w:val="004B1857"/>
    <w:rsid w:val="004B1C74"/>
    <w:rsid w:val="004B2E99"/>
    <w:rsid w:val="004B39F6"/>
    <w:rsid w:val="004B4AEE"/>
    <w:rsid w:val="004B4FD8"/>
    <w:rsid w:val="004B5C64"/>
    <w:rsid w:val="004C331C"/>
    <w:rsid w:val="004C79E2"/>
    <w:rsid w:val="004D1513"/>
    <w:rsid w:val="004D1CE1"/>
    <w:rsid w:val="004D2A2F"/>
    <w:rsid w:val="004D5EBE"/>
    <w:rsid w:val="004E7A0F"/>
    <w:rsid w:val="004F64E4"/>
    <w:rsid w:val="00501858"/>
    <w:rsid w:val="0050327F"/>
    <w:rsid w:val="005066CC"/>
    <w:rsid w:val="005076D5"/>
    <w:rsid w:val="00510105"/>
    <w:rsid w:val="00511819"/>
    <w:rsid w:val="005243B8"/>
    <w:rsid w:val="00526666"/>
    <w:rsid w:val="00533532"/>
    <w:rsid w:val="005401A4"/>
    <w:rsid w:val="005427D0"/>
    <w:rsid w:val="00542D9E"/>
    <w:rsid w:val="005452F1"/>
    <w:rsid w:val="00560173"/>
    <w:rsid w:val="00563AFA"/>
    <w:rsid w:val="00564ED8"/>
    <w:rsid w:val="00566DFD"/>
    <w:rsid w:val="005676AA"/>
    <w:rsid w:val="00572629"/>
    <w:rsid w:val="00575A8A"/>
    <w:rsid w:val="00577E9F"/>
    <w:rsid w:val="00580465"/>
    <w:rsid w:val="00581BB7"/>
    <w:rsid w:val="00582331"/>
    <w:rsid w:val="00586CBE"/>
    <w:rsid w:val="005961C7"/>
    <w:rsid w:val="005A229B"/>
    <w:rsid w:val="005A4951"/>
    <w:rsid w:val="005A7B2A"/>
    <w:rsid w:val="005B195E"/>
    <w:rsid w:val="005B2150"/>
    <w:rsid w:val="005B22D8"/>
    <w:rsid w:val="005B2AA9"/>
    <w:rsid w:val="005C6F45"/>
    <w:rsid w:val="005C7000"/>
    <w:rsid w:val="005C7C00"/>
    <w:rsid w:val="005D35D5"/>
    <w:rsid w:val="005D5230"/>
    <w:rsid w:val="005D711C"/>
    <w:rsid w:val="005E1287"/>
    <w:rsid w:val="005E1542"/>
    <w:rsid w:val="005E1A68"/>
    <w:rsid w:val="005E6204"/>
    <w:rsid w:val="005F68B7"/>
    <w:rsid w:val="005F6ACA"/>
    <w:rsid w:val="0060448D"/>
    <w:rsid w:val="00606DC7"/>
    <w:rsid w:val="00610E23"/>
    <w:rsid w:val="00611DD8"/>
    <w:rsid w:val="00612001"/>
    <w:rsid w:val="00616A8D"/>
    <w:rsid w:val="006227D1"/>
    <w:rsid w:val="00623894"/>
    <w:rsid w:val="006246DD"/>
    <w:rsid w:val="0062613B"/>
    <w:rsid w:val="006324A6"/>
    <w:rsid w:val="00632C56"/>
    <w:rsid w:val="00635834"/>
    <w:rsid w:val="006414B8"/>
    <w:rsid w:val="006434FB"/>
    <w:rsid w:val="00650889"/>
    <w:rsid w:val="00650A89"/>
    <w:rsid w:val="006510C4"/>
    <w:rsid w:val="00653D35"/>
    <w:rsid w:val="006550C0"/>
    <w:rsid w:val="00665F14"/>
    <w:rsid w:val="006702DB"/>
    <w:rsid w:val="006707E9"/>
    <w:rsid w:val="006721EA"/>
    <w:rsid w:val="00673875"/>
    <w:rsid w:val="0067480B"/>
    <w:rsid w:val="00674857"/>
    <w:rsid w:val="006774D0"/>
    <w:rsid w:val="00686A86"/>
    <w:rsid w:val="00687CE9"/>
    <w:rsid w:val="00692D31"/>
    <w:rsid w:val="0069499D"/>
    <w:rsid w:val="006975FB"/>
    <w:rsid w:val="006B1803"/>
    <w:rsid w:val="006B21C0"/>
    <w:rsid w:val="006B3147"/>
    <w:rsid w:val="006B576E"/>
    <w:rsid w:val="006B773E"/>
    <w:rsid w:val="006C0520"/>
    <w:rsid w:val="006C321E"/>
    <w:rsid w:val="006D3906"/>
    <w:rsid w:val="006D5417"/>
    <w:rsid w:val="006E0947"/>
    <w:rsid w:val="006E0BBC"/>
    <w:rsid w:val="006E0C25"/>
    <w:rsid w:val="006E11FF"/>
    <w:rsid w:val="006E2207"/>
    <w:rsid w:val="006F3D13"/>
    <w:rsid w:val="006F73DC"/>
    <w:rsid w:val="00701765"/>
    <w:rsid w:val="00702763"/>
    <w:rsid w:val="007122F0"/>
    <w:rsid w:val="0071418A"/>
    <w:rsid w:val="00715655"/>
    <w:rsid w:val="00716B8D"/>
    <w:rsid w:val="00717334"/>
    <w:rsid w:val="00720431"/>
    <w:rsid w:val="00722257"/>
    <w:rsid w:val="00723015"/>
    <w:rsid w:val="0072380B"/>
    <w:rsid w:val="00724DE4"/>
    <w:rsid w:val="00727D0A"/>
    <w:rsid w:val="007320D7"/>
    <w:rsid w:val="0073573B"/>
    <w:rsid w:val="0074269A"/>
    <w:rsid w:val="00742EAA"/>
    <w:rsid w:val="00747C67"/>
    <w:rsid w:val="00757012"/>
    <w:rsid w:val="00762EB5"/>
    <w:rsid w:val="007758B9"/>
    <w:rsid w:val="00777AFB"/>
    <w:rsid w:val="00783A4B"/>
    <w:rsid w:val="00784C39"/>
    <w:rsid w:val="00792C96"/>
    <w:rsid w:val="00793F7C"/>
    <w:rsid w:val="00795201"/>
    <w:rsid w:val="007957FD"/>
    <w:rsid w:val="007A1974"/>
    <w:rsid w:val="007A450E"/>
    <w:rsid w:val="007A4FB2"/>
    <w:rsid w:val="007B22F8"/>
    <w:rsid w:val="007C150F"/>
    <w:rsid w:val="007C2C4C"/>
    <w:rsid w:val="007C4465"/>
    <w:rsid w:val="007D28B1"/>
    <w:rsid w:val="007D5BCF"/>
    <w:rsid w:val="007D69CF"/>
    <w:rsid w:val="007E2DF4"/>
    <w:rsid w:val="007E5106"/>
    <w:rsid w:val="007F4FAE"/>
    <w:rsid w:val="0080207D"/>
    <w:rsid w:val="0081235E"/>
    <w:rsid w:val="00820206"/>
    <w:rsid w:val="00820D29"/>
    <w:rsid w:val="0082275C"/>
    <w:rsid w:val="00822CFF"/>
    <w:rsid w:val="00824D8C"/>
    <w:rsid w:val="00830C32"/>
    <w:rsid w:val="00834452"/>
    <w:rsid w:val="00840D19"/>
    <w:rsid w:val="00841DAE"/>
    <w:rsid w:val="00842D30"/>
    <w:rsid w:val="0085584D"/>
    <w:rsid w:val="0085663B"/>
    <w:rsid w:val="00862230"/>
    <w:rsid w:val="0086763F"/>
    <w:rsid w:val="00867BD1"/>
    <w:rsid w:val="008705C0"/>
    <w:rsid w:val="00871D62"/>
    <w:rsid w:val="008723B1"/>
    <w:rsid w:val="00877759"/>
    <w:rsid w:val="00880FF1"/>
    <w:rsid w:val="00881D54"/>
    <w:rsid w:val="00882547"/>
    <w:rsid w:val="00884534"/>
    <w:rsid w:val="0088778C"/>
    <w:rsid w:val="00887E1E"/>
    <w:rsid w:val="00894728"/>
    <w:rsid w:val="008A50FE"/>
    <w:rsid w:val="008B246B"/>
    <w:rsid w:val="008B5764"/>
    <w:rsid w:val="008B62B6"/>
    <w:rsid w:val="008C2A49"/>
    <w:rsid w:val="008C645F"/>
    <w:rsid w:val="008D1E6C"/>
    <w:rsid w:val="008D3604"/>
    <w:rsid w:val="008D68C2"/>
    <w:rsid w:val="008F2180"/>
    <w:rsid w:val="008F2EC7"/>
    <w:rsid w:val="008F492C"/>
    <w:rsid w:val="0090039A"/>
    <w:rsid w:val="00911916"/>
    <w:rsid w:val="009176D3"/>
    <w:rsid w:val="00920859"/>
    <w:rsid w:val="009576DF"/>
    <w:rsid w:val="0096195F"/>
    <w:rsid w:val="00962E63"/>
    <w:rsid w:val="00963597"/>
    <w:rsid w:val="009660B4"/>
    <w:rsid w:val="00974866"/>
    <w:rsid w:val="00994383"/>
    <w:rsid w:val="00995226"/>
    <w:rsid w:val="009A2789"/>
    <w:rsid w:val="009A3C86"/>
    <w:rsid w:val="009A42B6"/>
    <w:rsid w:val="009A552D"/>
    <w:rsid w:val="009A7F4A"/>
    <w:rsid w:val="009B5A5B"/>
    <w:rsid w:val="009C221D"/>
    <w:rsid w:val="009C4CAD"/>
    <w:rsid w:val="009D363D"/>
    <w:rsid w:val="009D6DDD"/>
    <w:rsid w:val="009E1B5A"/>
    <w:rsid w:val="009E1D02"/>
    <w:rsid w:val="009E303D"/>
    <w:rsid w:val="009E5763"/>
    <w:rsid w:val="009E642C"/>
    <w:rsid w:val="009F40C4"/>
    <w:rsid w:val="009F5F94"/>
    <w:rsid w:val="00A00666"/>
    <w:rsid w:val="00A01AEC"/>
    <w:rsid w:val="00A022A0"/>
    <w:rsid w:val="00A06442"/>
    <w:rsid w:val="00A0713C"/>
    <w:rsid w:val="00A10002"/>
    <w:rsid w:val="00A104E4"/>
    <w:rsid w:val="00A15BA5"/>
    <w:rsid w:val="00A20B97"/>
    <w:rsid w:val="00A3551E"/>
    <w:rsid w:val="00A367A8"/>
    <w:rsid w:val="00A4608D"/>
    <w:rsid w:val="00A467B0"/>
    <w:rsid w:val="00A527F6"/>
    <w:rsid w:val="00A53B75"/>
    <w:rsid w:val="00A55CA6"/>
    <w:rsid w:val="00A608E3"/>
    <w:rsid w:val="00A6102D"/>
    <w:rsid w:val="00A64795"/>
    <w:rsid w:val="00A64EB4"/>
    <w:rsid w:val="00A65868"/>
    <w:rsid w:val="00A6785E"/>
    <w:rsid w:val="00A70C3F"/>
    <w:rsid w:val="00A736A1"/>
    <w:rsid w:val="00A740A0"/>
    <w:rsid w:val="00A741BA"/>
    <w:rsid w:val="00A76BD1"/>
    <w:rsid w:val="00A8498A"/>
    <w:rsid w:val="00A850D6"/>
    <w:rsid w:val="00A925EB"/>
    <w:rsid w:val="00A92E7D"/>
    <w:rsid w:val="00A94C5B"/>
    <w:rsid w:val="00AA3206"/>
    <w:rsid w:val="00AB08A8"/>
    <w:rsid w:val="00AB1882"/>
    <w:rsid w:val="00AB4D68"/>
    <w:rsid w:val="00AC18EF"/>
    <w:rsid w:val="00AD09B5"/>
    <w:rsid w:val="00AD2218"/>
    <w:rsid w:val="00AD4B1E"/>
    <w:rsid w:val="00AD5A01"/>
    <w:rsid w:val="00AD6083"/>
    <w:rsid w:val="00AD7C84"/>
    <w:rsid w:val="00AE1D7E"/>
    <w:rsid w:val="00AE279B"/>
    <w:rsid w:val="00AE393C"/>
    <w:rsid w:val="00AE547B"/>
    <w:rsid w:val="00AE5639"/>
    <w:rsid w:val="00AF193C"/>
    <w:rsid w:val="00AF4726"/>
    <w:rsid w:val="00AF59F1"/>
    <w:rsid w:val="00B00625"/>
    <w:rsid w:val="00B010D1"/>
    <w:rsid w:val="00B01427"/>
    <w:rsid w:val="00B028BC"/>
    <w:rsid w:val="00B02F03"/>
    <w:rsid w:val="00B04FA6"/>
    <w:rsid w:val="00B07B2F"/>
    <w:rsid w:val="00B1557A"/>
    <w:rsid w:val="00B25E05"/>
    <w:rsid w:val="00B2770D"/>
    <w:rsid w:val="00B34E74"/>
    <w:rsid w:val="00B370A9"/>
    <w:rsid w:val="00B40FAE"/>
    <w:rsid w:val="00B46661"/>
    <w:rsid w:val="00B46CB0"/>
    <w:rsid w:val="00B518AD"/>
    <w:rsid w:val="00B53E97"/>
    <w:rsid w:val="00B63F7E"/>
    <w:rsid w:val="00B707C1"/>
    <w:rsid w:val="00B740AE"/>
    <w:rsid w:val="00B9081A"/>
    <w:rsid w:val="00BA05C7"/>
    <w:rsid w:val="00BA222D"/>
    <w:rsid w:val="00BA6490"/>
    <w:rsid w:val="00BA7E38"/>
    <w:rsid w:val="00BB0B95"/>
    <w:rsid w:val="00BC5387"/>
    <w:rsid w:val="00BD0AA1"/>
    <w:rsid w:val="00BD2D17"/>
    <w:rsid w:val="00BD374A"/>
    <w:rsid w:val="00BD6BDA"/>
    <w:rsid w:val="00BD7750"/>
    <w:rsid w:val="00BE7577"/>
    <w:rsid w:val="00BE7E96"/>
    <w:rsid w:val="00BF107B"/>
    <w:rsid w:val="00BF7107"/>
    <w:rsid w:val="00C01712"/>
    <w:rsid w:val="00C12A4D"/>
    <w:rsid w:val="00C13040"/>
    <w:rsid w:val="00C1755F"/>
    <w:rsid w:val="00C2128D"/>
    <w:rsid w:val="00C2134A"/>
    <w:rsid w:val="00C26976"/>
    <w:rsid w:val="00C26CB1"/>
    <w:rsid w:val="00C271EF"/>
    <w:rsid w:val="00C3292E"/>
    <w:rsid w:val="00C3618C"/>
    <w:rsid w:val="00C502EB"/>
    <w:rsid w:val="00C5041A"/>
    <w:rsid w:val="00C6236B"/>
    <w:rsid w:val="00C623A6"/>
    <w:rsid w:val="00C63F20"/>
    <w:rsid w:val="00C65121"/>
    <w:rsid w:val="00C65CEA"/>
    <w:rsid w:val="00C73BFF"/>
    <w:rsid w:val="00C7439E"/>
    <w:rsid w:val="00C779D1"/>
    <w:rsid w:val="00C836DC"/>
    <w:rsid w:val="00C9598C"/>
    <w:rsid w:val="00C95B0E"/>
    <w:rsid w:val="00C964E7"/>
    <w:rsid w:val="00CA4020"/>
    <w:rsid w:val="00CA6C93"/>
    <w:rsid w:val="00CB00FE"/>
    <w:rsid w:val="00CB37F8"/>
    <w:rsid w:val="00CB4553"/>
    <w:rsid w:val="00CC5D99"/>
    <w:rsid w:val="00CD61BB"/>
    <w:rsid w:val="00CE007F"/>
    <w:rsid w:val="00CE289A"/>
    <w:rsid w:val="00CE5AC4"/>
    <w:rsid w:val="00CF0F49"/>
    <w:rsid w:val="00CF18DA"/>
    <w:rsid w:val="00CF545E"/>
    <w:rsid w:val="00CF6444"/>
    <w:rsid w:val="00CF7C02"/>
    <w:rsid w:val="00D12ACD"/>
    <w:rsid w:val="00D16073"/>
    <w:rsid w:val="00D3163F"/>
    <w:rsid w:val="00D33227"/>
    <w:rsid w:val="00D335B9"/>
    <w:rsid w:val="00D34FE5"/>
    <w:rsid w:val="00D41C09"/>
    <w:rsid w:val="00D44982"/>
    <w:rsid w:val="00D6059E"/>
    <w:rsid w:val="00D6707B"/>
    <w:rsid w:val="00D72144"/>
    <w:rsid w:val="00D72391"/>
    <w:rsid w:val="00D726D6"/>
    <w:rsid w:val="00D755D2"/>
    <w:rsid w:val="00D76E83"/>
    <w:rsid w:val="00D77529"/>
    <w:rsid w:val="00D916C7"/>
    <w:rsid w:val="00D9353C"/>
    <w:rsid w:val="00D93663"/>
    <w:rsid w:val="00D94F86"/>
    <w:rsid w:val="00DA0357"/>
    <w:rsid w:val="00DA4A88"/>
    <w:rsid w:val="00DA7383"/>
    <w:rsid w:val="00DB49D1"/>
    <w:rsid w:val="00DC1BD7"/>
    <w:rsid w:val="00DC3C92"/>
    <w:rsid w:val="00DC6E84"/>
    <w:rsid w:val="00DD222D"/>
    <w:rsid w:val="00DD2386"/>
    <w:rsid w:val="00DD3F95"/>
    <w:rsid w:val="00DD52A7"/>
    <w:rsid w:val="00DE01D6"/>
    <w:rsid w:val="00DE632A"/>
    <w:rsid w:val="00DF082A"/>
    <w:rsid w:val="00DF2256"/>
    <w:rsid w:val="00DF3F33"/>
    <w:rsid w:val="00DF5A0C"/>
    <w:rsid w:val="00E02036"/>
    <w:rsid w:val="00E0204C"/>
    <w:rsid w:val="00E06921"/>
    <w:rsid w:val="00E13342"/>
    <w:rsid w:val="00E16EBD"/>
    <w:rsid w:val="00E238F0"/>
    <w:rsid w:val="00E3453B"/>
    <w:rsid w:val="00E375A4"/>
    <w:rsid w:val="00E509CD"/>
    <w:rsid w:val="00E547F9"/>
    <w:rsid w:val="00E56143"/>
    <w:rsid w:val="00E70648"/>
    <w:rsid w:val="00E7236D"/>
    <w:rsid w:val="00E7299C"/>
    <w:rsid w:val="00E76780"/>
    <w:rsid w:val="00E77366"/>
    <w:rsid w:val="00E80DCD"/>
    <w:rsid w:val="00E83197"/>
    <w:rsid w:val="00E83777"/>
    <w:rsid w:val="00E95E1A"/>
    <w:rsid w:val="00EA135B"/>
    <w:rsid w:val="00EA20CA"/>
    <w:rsid w:val="00EA735E"/>
    <w:rsid w:val="00EB0B02"/>
    <w:rsid w:val="00EB136E"/>
    <w:rsid w:val="00EB2A63"/>
    <w:rsid w:val="00EC41F7"/>
    <w:rsid w:val="00EC4C0D"/>
    <w:rsid w:val="00EC6FE2"/>
    <w:rsid w:val="00ED0A49"/>
    <w:rsid w:val="00ED3698"/>
    <w:rsid w:val="00EE2017"/>
    <w:rsid w:val="00EE4010"/>
    <w:rsid w:val="00EE54D6"/>
    <w:rsid w:val="00EE7154"/>
    <w:rsid w:val="00EE76FA"/>
    <w:rsid w:val="00EF1656"/>
    <w:rsid w:val="00EF1BBC"/>
    <w:rsid w:val="00EF2141"/>
    <w:rsid w:val="00EF5A17"/>
    <w:rsid w:val="00EF5FF0"/>
    <w:rsid w:val="00F01645"/>
    <w:rsid w:val="00F01A26"/>
    <w:rsid w:val="00F05E80"/>
    <w:rsid w:val="00F0621D"/>
    <w:rsid w:val="00F0676F"/>
    <w:rsid w:val="00F17AEB"/>
    <w:rsid w:val="00F22ADA"/>
    <w:rsid w:val="00F25B43"/>
    <w:rsid w:val="00F45523"/>
    <w:rsid w:val="00F511DF"/>
    <w:rsid w:val="00F550F1"/>
    <w:rsid w:val="00F555C1"/>
    <w:rsid w:val="00F5605B"/>
    <w:rsid w:val="00F62492"/>
    <w:rsid w:val="00F65B89"/>
    <w:rsid w:val="00F66AC1"/>
    <w:rsid w:val="00F66E11"/>
    <w:rsid w:val="00F77290"/>
    <w:rsid w:val="00F81421"/>
    <w:rsid w:val="00F83255"/>
    <w:rsid w:val="00FA0490"/>
    <w:rsid w:val="00FA0CAE"/>
    <w:rsid w:val="00FA0DB0"/>
    <w:rsid w:val="00FB1673"/>
    <w:rsid w:val="00FB2848"/>
    <w:rsid w:val="00FB5337"/>
    <w:rsid w:val="00FB64E8"/>
    <w:rsid w:val="00FC1111"/>
    <w:rsid w:val="00FC240E"/>
    <w:rsid w:val="00FC3389"/>
    <w:rsid w:val="00FC6AC6"/>
    <w:rsid w:val="00FD0856"/>
    <w:rsid w:val="00FD7868"/>
    <w:rsid w:val="00FE0B65"/>
    <w:rsid w:val="00FF002F"/>
    <w:rsid w:val="00FF0E0E"/>
    <w:rsid w:val="00FF43DC"/>
    <w:rsid w:val="00FF4E04"/>
    <w:rsid w:val="00FF79C5"/>
    <w:rsid w:val="022CE5A8"/>
    <w:rsid w:val="0289D604"/>
    <w:rsid w:val="02CC543D"/>
    <w:rsid w:val="03357EA3"/>
    <w:rsid w:val="06AC9DF1"/>
    <w:rsid w:val="07520466"/>
    <w:rsid w:val="087B5816"/>
    <w:rsid w:val="088E4A1D"/>
    <w:rsid w:val="0AD491AB"/>
    <w:rsid w:val="0B18333D"/>
    <w:rsid w:val="0BD64367"/>
    <w:rsid w:val="0CA6BBCB"/>
    <w:rsid w:val="0CA905AF"/>
    <w:rsid w:val="0CB74C37"/>
    <w:rsid w:val="0E1362A4"/>
    <w:rsid w:val="0E220EBC"/>
    <w:rsid w:val="0E38C4B2"/>
    <w:rsid w:val="0EC3A828"/>
    <w:rsid w:val="10447E33"/>
    <w:rsid w:val="10C627AE"/>
    <w:rsid w:val="10F8107B"/>
    <w:rsid w:val="11182BCF"/>
    <w:rsid w:val="12EDC9CD"/>
    <w:rsid w:val="141B28F4"/>
    <w:rsid w:val="14251D4B"/>
    <w:rsid w:val="15B4B4AD"/>
    <w:rsid w:val="160B6FBA"/>
    <w:rsid w:val="1672E064"/>
    <w:rsid w:val="16D2B61C"/>
    <w:rsid w:val="17403D4B"/>
    <w:rsid w:val="17D097EA"/>
    <w:rsid w:val="196C1676"/>
    <w:rsid w:val="1A5D15A3"/>
    <w:rsid w:val="1A6BA6F5"/>
    <w:rsid w:val="1AC5A4A6"/>
    <w:rsid w:val="1B1AD8DE"/>
    <w:rsid w:val="1B5942CA"/>
    <w:rsid w:val="1C077756"/>
    <w:rsid w:val="1CA3B738"/>
    <w:rsid w:val="1D6B5050"/>
    <w:rsid w:val="1F01B12D"/>
    <w:rsid w:val="1FBAF98E"/>
    <w:rsid w:val="1FC28172"/>
    <w:rsid w:val="1FDB57FA"/>
    <w:rsid w:val="220AAB31"/>
    <w:rsid w:val="237786CB"/>
    <w:rsid w:val="258F21BD"/>
    <w:rsid w:val="28016E73"/>
    <w:rsid w:val="2A2313A0"/>
    <w:rsid w:val="2A96CC49"/>
    <w:rsid w:val="2BAE9A13"/>
    <w:rsid w:val="2C40053D"/>
    <w:rsid w:val="2C4F6038"/>
    <w:rsid w:val="2F8700FA"/>
    <w:rsid w:val="32A1DE2E"/>
    <w:rsid w:val="333A43E3"/>
    <w:rsid w:val="3343FC13"/>
    <w:rsid w:val="33E69EE2"/>
    <w:rsid w:val="3433A9F6"/>
    <w:rsid w:val="352A0658"/>
    <w:rsid w:val="35BF79A7"/>
    <w:rsid w:val="3605D01C"/>
    <w:rsid w:val="380F7E72"/>
    <w:rsid w:val="38F71A69"/>
    <w:rsid w:val="3A569040"/>
    <w:rsid w:val="3A92EACA"/>
    <w:rsid w:val="3B0AA30A"/>
    <w:rsid w:val="3BCB1CCF"/>
    <w:rsid w:val="3D91B218"/>
    <w:rsid w:val="3DE01725"/>
    <w:rsid w:val="3F51E69E"/>
    <w:rsid w:val="3FCDA14C"/>
    <w:rsid w:val="40875AC4"/>
    <w:rsid w:val="40A04E5C"/>
    <w:rsid w:val="40A43FD3"/>
    <w:rsid w:val="41258C28"/>
    <w:rsid w:val="42F95D56"/>
    <w:rsid w:val="44B0FF52"/>
    <w:rsid w:val="4551158D"/>
    <w:rsid w:val="45953CC6"/>
    <w:rsid w:val="4766987B"/>
    <w:rsid w:val="4781E7D6"/>
    <w:rsid w:val="47C85FA9"/>
    <w:rsid w:val="48984997"/>
    <w:rsid w:val="48F5398F"/>
    <w:rsid w:val="492D491C"/>
    <w:rsid w:val="4A1B41D6"/>
    <w:rsid w:val="4A6A30C9"/>
    <w:rsid w:val="4ACD7CDC"/>
    <w:rsid w:val="4C694D3D"/>
    <w:rsid w:val="4CAA3392"/>
    <w:rsid w:val="4D0CB6AE"/>
    <w:rsid w:val="4D6D1B3D"/>
    <w:rsid w:val="4EF66518"/>
    <w:rsid w:val="4F93DF80"/>
    <w:rsid w:val="500DA839"/>
    <w:rsid w:val="515E5B88"/>
    <w:rsid w:val="541F15AE"/>
    <w:rsid w:val="5560B2A8"/>
    <w:rsid w:val="55AA063E"/>
    <w:rsid w:val="55FFD5BD"/>
    <w:rsid w:val="5736062F"/>
    <w:rsid w:val="57E0A16C"/>
    <w:rsid w:val="5853203C"/>
    <w:rsid w:val="59DE5FE7"/>
    <w:rsid w:val="5A752ED5"/>
    <w:rsid w:val="5AC3A87F"/>
    <w:rsid w:val="5B04D7C0"/>
    <w:rsid w:val="5CF2B9B9"/>
    <w:rsid w:val="5D497F06"/>
    <w:rsid w:val="61423CA4"/>
    <w:rsid w:val="61B22ACB"/>
    <w:rsid w:val="62AE4C9B"/>
    <w:rsid w:val="63477E9F"/>
    <w:rsid w:val="639FCC3C"/>
    <w:rsid w:val="63BCCD0F"/>
    <w:rsid w:val="64D71C75"/>
    <w:rsid w:val="64E34F00"/>
    <w:rsid w:val="6528AA96"/>
    <w:rsid w:val="6535D9E3"/>
    <w:rsid w:val="66151876"/>
    <w:rsid w:val="66F6AEAF"/>
    <w:rsid w:val="6798A18B"/>
    <w:rsid w:val="67C65CCA"/>
    <w:rsid w:val="68593027"/>
    <w:rsid w:val="693471EC"/>
    <w:rsid w:val="6A5E9328"/>
    <w:rsid w:val="6B1E935E"/>
    <w:rsid w:val="6BFA6389"/>
    <w:rsid w:val="6D5FD5A1"/>
    <w:rsid w:val="6DA5143A"/>
    <w:rsid w:val="6E61709E"/>
    <w:rsid w:val="6EC393CC"/>
    <w:rsid w:val="6FBD3AC5"/>
    <w:rsid w:val="6FC9C7A9"/>
    <w:rsid w:val="6FE2EEBA"/>
    <w:rsid w:val="7000E273"/>
    <w:rsid w:val="70044CB4"/>
    <w:rsid w:val="75A700A6"/>
    <w:rsid w:val="7649851E"/>
    <w:rsid w:val="7655DBE2"/>
    <w:rsid w:val="765A0486"/>
    <w:rsid w:val="7675C04D"/>
    <w:rsid w:val="79A7C4B9"/>
    <w:rsid w:val="7A97EC7B"/>
    <w:rsid w:val="7B0CCC43"/>
    <w:rsid w:val="7BC8EF71"/>
    <w:rsid w:val="7DB0E5A5"/>
    <w:rsid w:val="7DE84BB0"/>
    <w:rsid w:val="7E546DB5"/>
    <w:rsid w:val="7F009033"/>
    <w:rsid w:val="7FFDD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2A4B5"/>
  <w15:chartTrackingRefBased/>
  <w15:docId w15:val="{8B4330FA-E428-4C3F-A77C-82E2F204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elior" w:hAnsi="Melior" w:cs="Melior"/>
      <w:sz w:val="24"/>
      <w:szCs w:val="24"/>
      <w:lang w:eastAsia="ja-JP"/>
    </w:rPr>
  </w:style>
  <w:style w:type="paragraph" w:styleId="Heading1">
    <w:name w:val="heading 1"/>
    <w:basedOn w:val="Normal"/>
    <w:next w:val="Normal"/>
    <w:qFormat/>
    <w:pPr>
      <w:keepNext/>
      <w:tabs>
        <w:tab w:val="left" w:pos="4500"/>
        <w:tab w:val="left" w:pos="5040"/>
      </w:tabs>
      <w:spacing w:before="140"/>
      <w:jc w:val="both"/>
      <w:outlineLvl w:val="0"/>
    </w:pPr>
    <w:rPr>
      <w:rFonts w:ascii="Arial" w:hAnsi="Arial" w:cs="Arial"/>
      <w:b/>
      <w:bCs/>
      <w:sz w:val="20"/>
      <w:szCs w:val="20"/>
    </w:rPr>
  </w:style>
  <w:style w:type="paragraph" w:styleId="Heading2">
    <w:name w:val="heading 2"/>
    <w:basedOn w:val="Normal"/>
    <w:next w:val="Normal"/>
    <w:qFormat/>
    <w:pPr>
      <w:keepNext/>
      <w:tabs>
        <w:tab w:val="left" w:pos="5040"/>
      </w:tabs>
      <w:outlineLvl w:val="1"/>
    </w:pPr>
    <w:rPr>
      <w:rFonts w:ascii="Arial" w:hAnsi="Arial" w:cs="Arial"/>
      <w:b/>
      <w:bCs/>
    </w:rPr>
  </w:style>
  <w:style w:type="paragraph" w:styleId="Heading3">
    <w:name w:val="heading 3"/>
    <w:basedOn w:val="Normal"/>
    <w:next w:val="Normal"/>
    <w:qFormat/>
    <w:pPr>
      <w:keepNext/>
      <w:tabs>
        <w:tab w:val="left" w:pos="450"/>
      </w:tabs>
      <w:spacing w:line="360" w:lineRule="auto"/>
      <w:jc w:val="center"/>
      <w:outlineLvl w:val="2"/>
    </w:pPr>
    <w:rPr>
      <w:rFonts w:ascii="Arial" w:hAnsi="Arial" w:cs="Arial"/>
      <w:b/>
      <w:bCs/>
      <w:sz w:val="22"/>
      <w:szCs w:val="22"/>
    </w:rPr>
  </w:style>
  <w:style w:type="paragraph" w:styleId="Heading4">
    <w:name w:val="heading 4"/>
    <w:basedOn w:val="Normal"/>
    <w:next w:val="Normal"/>
    <w:qFormat/>
    <w:pPr>
      <w:keepNext/>
      <w:jc w:val="center"/>
      <w:outlineLvl w:val="3"/>
    </w:pPr>
    <w:rPr>
      <w:rFonts w:ascii="Arial" w:hAnsi="Arial" w:cs="Arial"/>
      <w:b/>
      <w:bCs/>
      <w:sz w:val="20"/>
      <w:szCs w:val="20"/>
    </w:rPr>
  </w:style>
  <w:style w:type="paragraph" w:styleId="Heading5">
    <w:name w:val="heading 5"/>
    <w:basedOn w:val="Normal"/>
    <w:next w:val="Normal"/>
    <w:qFormat/>
    <w:pPr>
      <w:keepNext/>
      <w:tabs>
        <w:tab w:val="right" w:pos="7020"/>
        <w:tab w:val="left" w:pos="7380"/>
      </w:tabs>
      <w:spacing w:line="360" w:lineRule="auto"/>
      <w:outlineLvl w:val="4"/>
    </w:pPr>
    <w:rPr>
      <w:rFonts w:ascii="Arial" w:hAnsi="Arial" w:cs="Arial"/>
      <w:b/>
      <w:bCs/>
      <w:sz w:val="20"/>
      <w:szCs w:val="20"/>
    </w:rPr>
  </w:style>
  <w:style w:type="paragraph" w:styleId="Heading6">
    <w:name w:val="heading 6"/>
    <w:basedOn w:val="Normal"/>
    <w:next w:val="Normal"/>
    <w:qFormat/>
    <w:pPr>
      <w:keepNext/>
      <w:outlineLvl w:val="5"/>
    </w:pPr>
    <w:rPr>
      <w:rFonts w:ascii="Arial" w:hAnsi="Arial" w:cs="Arial"/>
      <w:b/>
      <w:bCs/>
      <w:sz w:val="22"/>
      <w:szCs w:val="22"/>
    </w:rPr>
  </w:style>
  <w:style w:type="paragraph" w:styleId="Heading7">
    <w:name w:val="heading 7"/>
    <w:basedOn w:val="Normal"/>
    <w:next w:val="Normal"/>
    <w:qFormat/>
    <w:pPr>
      <w:keepNext/>
      <w:tabs>
        <w:tab w:val="left" w:pos="5040"/>
      </w:tabs>
      <w:spacing w:before="120"/>
      <w:jc w:val="both"/>
      <w:outlineLvl w:val="6"/>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mallCaps/>
    </w:rPr>
  </w:style>
  <w:style w:type="paragraph" w:styleId="EnvelopeReturn">
    <w:name w:val="envelope return"/>
    <w:basedOn w:val="Normal"/>
    <w:rPr>
      <w:rFonts w:ascii="Univers (WN)" w:hAnsi="Univers (WN)" w:cs="Univers (WN)"/>
      <w:sz w:val="20"/>
      <w:szCs w:val="20"/>
    </w:rPr>
  </w:style>
  <w:style w:type="paragraph" w:styleId="Footer">
    <w:name w:val="footer"/>
    <w:basedOn w:val="Normal"/>
    <w:pPr>
      <w:tabs>
        <w:tab w:val="center" w:pos="4320"/>
        <w:tab w:val="right" w:pos="8640"/>
      </w:tabs>
    </w:pPr>
    <w:rPr>
      <w:noProof/>
    </w:rPr>
  </w:style>
  <w:style w:type="paragraph" w:styleId="Header">
    <w:name w:val="header"/>
    <w:basedOn w:val="Normal"/>
    <w:pPr>
      <w:tabs>
        <w:tab w:val="center" w:pos="4320"/>
        <w:tab w:val="right" w:pos="8640"/>
      </w:tabs>
    </w:pPr>
  </w:style>
  <w:style w:type="paragraph" w:styleId="BodyTextIndent">
    <w:name w:val="Body Text Indent"/>
    <w:basedOn w:val="Normal"/>
    <w:rsid w:val="00334C50"/>
    <w:pPr>
      <w:spacing w:after="120"/>
      <w:ind w:left="360"/>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rsid w:val="00334C50"/>
    <w:pPr>
      <w:spacing w:after="120"/>
      <w:ind w:left="360"/>
    </w:pPr>
    <w:rPr>
      <w:sz w:val="16"/>
      <w:szCs w:val="16"/>
    </w:rPr>
  </w:style>
  <w:style w:type="paragraph" w:styleId="ListParagraph">
    <w:name w:val="List Paragraph"/>
    <w:basedOn w:val="Normal"/>
    <w:uiPriority w:val="34"/>
    <w:qFormat/>
    <w:rsid w:val="004D1CE1"/>
    <w:pPr>
      <w:ind w:left="720"/>
      <w:contextualSpacing/>
    </w:pPr>
  </w:style>
  <w:style w:type="paragraph" w:styleId="Revision">
    <w:name w:val="Revision"/>
    <w:hidden/>
    <w:uiPriority w:val="99"/>
    <w:semiHidden/>
    <w:rsid w:val="006C321E"/>
    <w:rPr>
      <w:rFonts w:ascii="Melior" w:hAnsi="Melior" w:cs="Melior"/>
      <w:sz w:val="24"/>
      <w:szCs w:val="24"/>
      <w:lang w:eastAsia="ja-JP"/>
    </w:rPr>
  </w:style>
  <w:style w:type="character" w:styleId="CommentReference">
    <w:name w:val="annotation reference"/>
    <w:basedOn w:val="DefaultParagraphFont"/>
    <w:uiPriority w:val="99"/>
    <w:unhideWhenUsed/>
    <w:rsid w:val="006C321E"/>
    <w:rPr>
      <w:sz w:val="16"/>
      <w:szCs w:val="16"/>
    </w:rPr>
  </w:style>
  <w:style w:type="paragraph" w:styleId="CommentText">
    <w:name w:val="annotation text"/>
    <w:basedOn w:val="Normal"/>
    <w:link w:val="CommentTextChar"/>
    <w:uiPriority w:val="99"/>
    <w:unhideWhenUsed/>
    <w:rsid w:val="006C321E"/>
    <w:rPr>
      <w:sz w:val="20"/>
      <w:szCs w:val="20"/>
    </w:rPr>
  </w:style>
  <w:style w:type="character" w:customStyle="1" w:styleId="CommentTextChar">
    <w:name w:val="Comment Text Char"/>
    <w:basedOn w:val="DefaultParagraphFont"/>
    <w:link w:val="CommentText"/>
    <w:uiPriority w:val="99"/>
    <w:rsid w:val="006C321E"/>
    <w:rPr>
      <w:rFonts w:ascii="Melior" w:hAnsi="Melior" w:cs="Melior"/>
      <w:lang w:eastAsia="ja-JP"/>
    </w:rPr>
  </w:style>
  <w:style w:type="paragraph" w:styleId="CommentSubject">
    <w:name w:val="annotation subject"/>
    <w:basedOn w:val="CommentText"/>
    <w:next w:val="CommentText"/>
    <w:link w:val="CommentSubjectChar"/>
    <w:uiPriority w:val="99"/>
    <w:semiHidden/>
    <w:unhideWhenUsed/>
    <w:rsid w:val="006C321E"/>
    <w:rPr>
      <w:b/>
      <w:bCs/>
    </w:rPr>
  </w:style>
  <w:style w:type="character" w:customStyle="1" w:styleId="CommentSubjectChar">
    <w:name w:val="Comment Subject Char"/>
    <w:basedOn w:val="CommentTextChar"/>
    <w:link w:val="CommentSubject"/>
    <w:uiPriority w:val="99"/>
    <w:semiHidden/>
    <w:rsid w:val="006C321E"/>
    <w:rPr>
      <w:rFonts w:ascii="Melior" w:hAnsi="Melior" w:cs="Melior"/>
      <w:b/>
      <w:bCs/>
      <w:lang w:eastAsia="ja-JP"/>
    </w:rPr>
  </w:style>
  <w:style w:type="character" w:styleId="Hyperlink">
    <w:name w:val="Hyperlink"/>
    <w:basedOn w:val="DefaultParagraphFont"/>
    <w:uiPriority w:val="99"/>
    <w:unhideWhenUsed/>
    <w:rsid w:val="00B2770D"/>
    <w:rPr>
      <w:color w:val="0563C1" w:themeColor="hyperlink"/>
      <w:u w:val="single"/>
    </w:rPr>
  </w:style>
  <w:style w:type="character" w:styleId="UnresolvedMention">
    <w:name w:val="Unresolved Mention"/>
    <w:basedOn w:val="DefaultParagraphFont"/>
    <w:uiPriority w:val="99"/>
    <w:semiHidden/>
    <w:unhideWhenUsed/>
    <w:rsid w:val="00B2770D"/>
    <w:rPr>
      <w:color w:val="605E5C"/>
      <w:shd w:val="clear" w:color="auto" w:fill="E1DFDD"/>
    </w:rPr>
  </w:style>
  <w:style w:type="character" w:styleId="FollowedHyperlink">
    <w:name w:val="FollowedHyperlink"/>
    <w:basedOn w:val="DefaultParagraphFont"/>
    <w:uiPriority w:val="99"/>
    <w:semiHidden/>
    <w:unhideWhenUsed/>
    <w:rsid w:val="00E83777"/>
    <w:rPr>
      <w:color w:val="954F72" w:themeColor="followedHyperlink"/>
      <w:u w:val="single"/>
    </w:rPr>
  </w:style>
  <w:style w:type="character" w:customStyle="1" w:styleId="cf01">
    <w:name w:val="cf01"/>
    <w:basedOn w:val="DefaultParagraphFont"/>
    <w:rsid w:val="00194D44"/>
    <w:rPr>
      <w:rFonts w:ascii="Segoe UI" w:hAnsi="Segoe UI" w:cs="Segoe UI" w:hint="default"/>
      <w:sz w:val="18"/>
      <w:szCs w:val="18"/>
    </w:rPr>
  </w:style>
  <w:style w:type="character" w:customStyle="1" w:styleId="ui-provider">
    <w:name w:val="ui-provider"/>
    <w:basedOn w:val="DefaultParagraphFont"/>
    <w:rsid w:val="008C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5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w.cornell.edu/cfr/text/48/52.203-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8be70cdd-f9ca-45d8-b3d1-344a382049e5" xsi:nil="true"/>
    <SharedWithUsers xmlns="5880b760-7da4-446a-9876-f20c81f48002">
      <UserInfo>
        <DisplayName>Terry, Helen</DisplayName>
        <AccountId>81</AccountId>
        <AccountType/>
      </UserInfo>
      <UserInfo>
        <DisplayName>Mann, Joel</DisplayName>
        <AccountId>82</AccountId>
        <AccountType/>
      </UserInfo>
      <UserInfo>
        <DisplayName>Seller, Brooke</DisplayName>
        <AccountId>11</AccountId>
        <AccountType/>
      </UserInfo>
    </SharedWithUsers>
    <lcf76f155ced4ddcb4097134ff3c332f xmlns="8be70cdd-f9ca-45d8-b3d1-344a382049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DAD52FBA27F418495BD5316919D5B" ma:contentTypeVersion="14" ma:contentTypeDescription="Create a new document." ma:contentTypeScope="" ma:versionID="fb18a3aae85867ed92ba9e4eeef86fc0">
  <xsd:schema xmlns:xsd="http://www.w3.org/2001/XMLSchema" xmlns:xs="http://www.w3.org/2001/XMLSchema" xmlns:p="http://schemas.microsoft.com/office/2006/metadata/properties" xmlns:ns2="5880b760-7da4-446a-9876-f20c81f48002" xmlns:ns3="8be70cdd-f9ca-45d8-b3d1-344a382049e5" targetNamespace="http://schemas.microsoft.com/office/2006/metadata/properties" ma:root="true" ma:fieldsID="e5f6000f6606aeffd02160975525c997" ns2:_="" ns3:_="">
    <xsd:import namespace="5880b760-7da4-446a-9876-f20c81f48002"/>
    <xsd:import namespace="8be70cdd-f9ca-45d8-b3d1-344a382049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Number" minOccurs="0"/>
                <xsd:element ref="ns3:lcf76f155ced4ddcb4097134ff3c332f"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0b760-7da4-446a-9876-f20c81f480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70cdd-f9ca-45d8-b3d1-344a382049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umber" ma:index="12" nillable="true" ma:displayName="Number" ma:format="Dropdown" ma:internalName="Number"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a1511d-2345-4ee6-88e1-d3859e8dbc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DA83C-A796-452B-A949-1DAA3702DF59}">
  <ds:schemaRefs>
    <ds:schemaRef ds:uri="http://schemas.microsoft.com/office/2006/metadata/properties"/>
    <ds:schemaRef ds:uri="http://schemas.microsoft.com/office/infopath/2007/PartnerControls"/>
    <ds:schemaRef ds:uri="8be70cdd-f9ca-45d8-b3d1-344a382049e5"/>
    <ds:schemaRef ds:uri="5880b760-7da4-446a-9876-f20c81f48002"/>
  </ds:schemaRefs>
</ds:datastoreItem>
</file>

<file path=customXml/itemProps2.xml><?xml version="1.0" encoding="utf-8"?>
<ds:datastoreItem xmlns:ds="http://schemas.openxmlformats.org/officeDocument/2006/customXml" ds:itemID="{0B6FBA58-2166-42B3-811D-3300EAFADBB4}">
  <ds:schemaRefs>
    <ds:schemaRef ds:uri="http://schemas.microsoft.com/sharepoint/v3/contenttype/forms"/>
  </ds:schemaRefs>
</ds:datastoreItem>
</file>

<file path=customXml/itemProps3.xml><?xml version="1.0" encoding="utf-8"?>
<ds:datastoreItem xmlns:ds="http://schemas.openxmlformats.org/officeDocument/2006/customXml" ds:itemID="{D84B4D94-760B-4F6B-A66F-011E30DC8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0b760-7da4-446a-9876-f20c81f48002"/>
    <ds:schemaRef ds:uri="8be70cdd-f9ca-45d8-b3d1-344a38204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6</Pages>
  <Words>3866</Words>
  <Characters>22037</Characters>
  <Application>Microsoft Office Word</Application>
  <DocSecurity>0</DocSecurity>
  <Lines>183</Lines>
  <Paragraphs>51</Paragraphs>
  <ScaleCrop>false</ScaleCrop>
  <Company>Tektronix</Company>
  <LinksUpToDate>false</LinksUpToDate>
  <CharactersWithSpaces>25852</CharactersWithSpaces>
  <SharedDoc>false</SharedDoc>
  <HLinks>
    <vt:vector size="12" baseType="variant">
      <vt:variant>
        <vt:i4>5111903</vt:i4>
      </vt:variant>
      <vt:variant>
        <vt:i4>3</vt:i4>
      </vt:variant>
      <vt:variant>
        <vt:i4>0</vt:i4>
      </vt:variant>
      <vt:variant>
        <vt:i4>5</vt:i4>
      </vt:variant>
      <vt:variant>
        <vt:lpwstr>https://www.law.cornell.edu/cfr/text/48/52.203-19</vt:lpwstr>
      </vt:variant>
      <vt:variant>
        <vt:lpwstr/>
      </vt:variant>
      <vt:variant>
        <vt:i4>3014754</vt:i4>
      </vt:variant>
      <vt:variant>
        <vt:i4>0</vt:i4>
      </vt:variant>
      <vt:variant>
        <vt:i4>0</vt:i4>
      </vt:variant>
      <vt:variant>
        <vt:i4>5</vt:i4>
      </vt:variant>
      <vt:variant>
        <vt:lpwstr>https://www.eapowered.com/wp-content/uploads/2023/04/EA-Elektro-Automatik-Terms-and-Conditions-of-Sale.pdf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TEKTRONIX, INC.</dc:title>
  <dc:subject/>
  <dc:creator>Terry M. Sheldon</dc:creator>
  <cp:keywords/>
  <dc:description/>
  <cp:lastModifiedBy>Hollister, Amber</cp:lastModifiedBy>
  <cp:revision>3</cp:revision>
  <cp:lastPrinted>2025-04-17T18:16:00Z</cp:lastPrinted>
  <dcterms:created xsi:type="dcterms:W3CDTF">2025-04-17T18:17:00Z</dcterms:created>
  <dcterms:modified xsi:type="dcterms:W3CDTF">2025-04-25T16:46:00Z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0x010100F35DAD52FBA27F418495BD5316919D5B</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